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3" w:rsidRDefault="00953153" w:rsidP="00953153">
      <w:pPr>
        <w:tabs>
          <w:tab w:val="left" w:pos="2430"/>
        </w:tabs>
        <w:spacing w:line="240" w:lineRule="auto"/>
        <w:contextualSpacing/>
        <w:rPr>
          <w:rFonts w:eastAsia="Meiryo" w:cs="Calibri"/>
          <w:b/>
          <w:sz w:val="20"/>
          <w:lang w:val="en-US"/>
        </w:rPr>
      </w:pPr>
    </w:p>
    <w:p w:rsidR="00953153" w:rsidRDefault="00953153" w:rsidP="00953153">
      <w:pPr>
        <w:tabs>
          <w:tab w:val="left" w:pos="2430"/>
        </w:tabs>
        <w:spacing w:line="240" w:lineRule="auto"/>
        <w:contextualSpacing/>
        <w:rPr>
          <w:rFonts w:cs="Calibri"/>
          <w:b/>
          <w:sz w:val="20"/>
          <w:szCs w:val="20"/>
        </w:rPr>
      </w:pPr>
      <w:r>
        <w:rPr>
          <w:rFonts w:eastAsia="Meiryo" w:cs="Calibri"/>
          <w:b/>
          <w:sz w:val="20"/>
        </w:rPr>
        <w:t>ΠΑΡΑΡΤΗΜΑ Γ</w:t>
      </w:r>
      <w:r w:rsidRPr="0088641A">
        <w:rPr>
          <w:rFonts w:eastAsia="Meiryo" w:cs="Calibri"/>
          <w:b/>
          <w:sz w:val="20"/>
        </w:rPr>
        <w:t xml:space="preserve">: ΕΝΤΥΠΟ </w:t>
      </w:r>
      <w:r>
        <w:rPr>
          <w:rFonts w:eastAsia="Meiryo" w:cs="Calibri"/>
          <w:b/>
          <w:sz w:val="20"/>
        </w:rPr>
        <w:t xml:space="preserve">ΤΕΧΝΙΚΗΣ </w:t>
      </w:r>
      <w:r w:rsidRPr="0088641A">
        <w:rPr>
          <w:rFonts w:eastAsia="Meiryo" w:cs="Calibri"/>
          <w:b/>
          <w:sz w:val="20"/>
        </w:rPr>
        <w:t>ΠΡΟΣΦΟΡΑΣ της υπ’ αριθ</w:t>
      </w:r>
      <w:r w:rsidRPr="000829DC">
        <w:rPr>
          <w:rFonts w:eastAsia="Meiryo" w:cs="Calibri"/>
          <w:b/>
          <w:sz w:val="20"/>
        </w:rPr>
        <w:t>. 21750/03-10-2017</w:t>
      </w:r>
      <w:r w:rsidRPr="00764F9E">
        <w:rPr>
          <w:rFonts w:eastAsia="Meiryo" w:cs="Calibri"/>
          <w:b/>
          <w:sz w:val="20"/>
        </w:rPr>
        <w:t xml:space="preserve"> </w:t>
      </w:r>
      <w:r w:rsidRPr="00467D9B">
        <w:rPr>
          <w:rFonts w:eastAsia="Meiryo" w:cs="Calibri"/>
          <w:b/>
          <w:sz w:val="20"/>
          <w:szCs w:val="20"/>
        </w:rPr>
        <w:t xml:space="preserve">Πρόσκλησης </w:t>
      </w:r>
      <w:r w:rsidRPr="00467D9B">
        <w:rPr>
          <w:rFonts w:cs="Calibri"/>
          <w:b/>
          <w:sz w:val="20"/>
          <w:szCs w:val="20"/>
        </w:rPr>
        <w:t xml:space="preserve">υποβολής προσφορών για </w:t>
      </w:r>
      <w:r w:rsidRPr="00764F9E">
        <w:rPr>
          <w:rFonts w:cs="Calibri"/>
          <w:b/>
          <w:sz w:val="20"/>
          <w:szCs w:val="20"/>
        </w:rPr>
        <w:t>απεγκατάσταση – μεταφορά – εγκατάσταση του εξοπλισμού</w:t>
      </w:r>
      <w:r w:rsidRPr="00467D9B">
        <w:rPr>
          <w:rFonts w:cs="Calibri"/>
          <w:b/>
          <w:sz w:val="20"/>
          <w:szCs w:val="20"/>
        </w:rPr>
        <w:t xml:space="preserve"> πληροφορικής της Δ.Ο.Υ. Α’ Πατρών στο νέο κτίριο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1241"/>
        <w:gridCol w:w="2392"/>
      </w:tblGrid>
      <w:tr w:rsidR="00953153" w:rsidRPr="002207DE" w:rsidTr="0022624B">
        <w:tc>
          <w:tcPr>
            <w:tcW w:w="5778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2207DE">
              <w:rPr>
                <w:rFonts w:cs="Calibri"/>
                <w:b/>
                <w:i/>
                <w:sz w:val="20"/>
                <w:szCs w:val="20"/>
              </w:rPr>
              <w:t>ΤΕΧΝΙΚΕΣ ΑΠΑΙΤΗΣΕΙΣ</w:t>
            </w:r>
          </w:p>
        </w:tc>
        <w:tc>
          <w:tcPr>
            <w:tcW w:w="1275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i/>
                <w:sz w:val="20"/>
                <w:szCs w:val="20"/>
              </w:rPr>
            </w:pPr>
            <w:r w:rsidRPr="002207DE">
              <w:rPr>
                <w:rFonts w:cs="Calibri"/>
                <w:b/>
                <w:i/>
                <w:sz w:val="20"/>
                <w:szCs w:val="20"/>
              </w:rPr>
              <w:t>ΠΑΡΟΧΗ ΥΠΗΡΕΣΙΑΣ</w:t>
            </w:r>
          </w:p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2207DE">
              <w:rPr>
                <w:rFonts w:cs="Calibri"/>
                <w:b/>
                <w:i/>
                <w:sz w:val="20"/>
                <w:szCs w:val="20"/>
              </w:rPr>
              <w:t>ΝΑΙ/ΟΧΙ</w:t>
            </w:r>
          </w:p>
        </w:tc>
        <w:tc>
          <w:tcPr>
            <w:tcW w:w="2694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2207DE">
              <w:rPr>
                <w:rFonts w:cs="Calibri"/>
                <w:b/>
                <w:i/>
                <w:sz w:val="20"/>
                <w:szCs w:val="20"/>
              </w:rPr>
              <w:t>ΠΑΡΑΤΗΡΗΣΕΙΣ</w:t>
            </w:r>
          </w:p>
        </w:tc>
      </w:tr>
      <w:tr w:rsidR="00953153" w:rsidRPr="002207DE" w:rsidTr="0022624B">
        <w:tc>
          <w:tcPr>
            <w:tcW w:w="5778" w:type="dxa"/>
          </w:tcPr>
          <w:p w:rsidR="00953153" w:rsidRPr="002207DE" w:rsidRDefault="00953153" w:rsidP="0022624B">
            <w:pPr>
              <w:pStyle w:val="3"/>
              <w:spacing w:after="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7DE">
              <w:rPr>
                <w:rFonts w:ascii="Times New Roman" w:hAnsi="Times New Roman"/>
                <w:sz w:val="18"/>
                <w:szCs w:val="18"/>
              </w:rPr>
              <w:t xml:space="preserve">Αποσύνδεση εξοπλισμού θέσεων εργασίας (υπολογιστής, 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>monitor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>keyboard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>mouse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>, σύνδεση δικτύου) – συσκευασία και ασφαλή μεταφορά τους – εγκατάσταση τους σε θέσεις εργασίας στο νέο κτίριο – σύνδεση στο δίκτυο και τελικός έλεγχος λειτουργίας τους.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1"/>
              </w:numPr>
              <w:spacing w:after="0" w:line="360" w:lineRule="auto"/>
              <w:ind w:left="70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66 PC 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>τύπου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Dell 260 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>με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CRT monitors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1"/>
              </w:numPr>
              <w:spacing w:after="0" w:line="360" w:lineRule="auto"/>
              <w:ind w:left="70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36 PC 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>τύπου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Dell 755 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>με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TFT monitors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1"/>
              </w:numPr>
              <w:spacing w:after="0" w:line="360" w:lineRule="auto"/>
              <w:ind w:left="709"/>
              <w:jc w:val="both"/>
              <w:rPr>
                <w:rFonts w:ascii="Times New Roman" w:eastAsia="Meiryo" w:hAnsi="Times New Roman"/>
                <w:b/>
                <w:sz w:val="18"/>
                <w:szCs w:val="18"/>
                <w:lang w:val="en-US"/>
              </w:rPr>
            </w:pP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17 Laptops 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>τύπου</w:t>
            </w:r>
            <w:r w:rsidRPr="002207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Dell D630</w:t>
            </w:r>
            <w:r w:rsidRPr="002207DE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275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694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</w:tr>
      <w:tr w:rsidR="00953153" w:rsidRPr="002207DE" w:rsidTr="0022624B">
        <w:tc>
          <w:tcPr>
            <w:tcW w:w="5778" w:type="dxa"/>
          </w:tcPr>
          <w:p w:rsidR="00953153" w:rsidRPr="002207DE" w:rsidRDefault="00953153" w:rsidP="0022624B">
            <w:pPr>
              <w:pStyle w:val="3"/>
              <w:spacing w:after="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7DE">
              <w:rPr>
                <w:rFonts w:ascii="Times New Roman" w:hAnsi="Times New Roman"/>
                <w:sz w:val="18"/>
                <w:szCs w:val="18"/>
              </w:rPr>
              <w:t>Αποσύνδεση εκτυπωτών τοπικών και δικτυακών – συσκευασία και ασφαλή μεταφορά τους – εγκατάσταση σε θέσεις εργασίας στο νέο κτίριο – σύνδεση σε δίκτυο και έλεγχος λειτουργίας τους.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18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Laser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τύπου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Lexmark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E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323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dx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(δικτυακοί)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11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Laser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τύπου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Kyocera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Mita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1020 (δικτυακοί)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2 Inkjet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τύπου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Epson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16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Matrix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τύπου 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Compuprint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Signum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2038-204 &amp; 9065 (δικτυακοί και τοπικοί)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1 Matrix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τύπου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Genicom</w:t>
            </w:r>
          </w:p>
        </w:tc>
        <w:tc>
          <w:tcPr>
            <w:tcW w:w="1275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694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</w:tr>
      <w:tr w:rsidR="00953153" w:rsidRPr="002207DE" w:rsidTr="0022624B">
        <w:tc>
          <w:tcPr>
            <w:tcW w:w="5778" w:type="dxa"/>
          </w:tcPr>
          <w:p w:rsidR="00953153" w:rsidRPr="002207DE" w:rsidRDefault="00953153" w:rsidP="0022624B">
            <w:pPr>
              <w:pStyle w:val="3"/>
              <w:spacing w:after="0" w:line="360" w:lineRule="auto"/>
              <w:ind w:left="0"/>
              <w:jc w:val="both"/>
              <w:rPr>
                <w:rFonts w:ascii="Times New Roman" w:eastAsia="Meiryo" w:hAnsi="Times New Roman"/>
                <w:sz w:val="18"/>
                <w:szCs w:val="18"/>
                <w:lang w:val="en-US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Εργασίες στο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server room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  <w:lang w:val="en-US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>Αποσύνδεση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κεντρικού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ενεργού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server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τύπου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PowerEdge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sc-1430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με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TFT monitor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συνοδευόμενο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>από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 xml:space="preserve"> 2 UPS Emerson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Αποσύνδεση παλαιού μη ενεργού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server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τύπου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Bull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Escalla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,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disk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cabinet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και εξοπλισμό παλαιού κόμβου δικτύου.</w:t>
            </w:r>
          </w:p>
          <w:p w:rsidR="00953153" w:rsidRPr="002207DE" w:rsidRDefault="00953153" w:rsidP="00953153">
            <w:pPr>
              <w:pStyle w:val="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Αποσύνδεση του κεντρικού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rack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(περιέχει 2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switch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, οπτικές ίνες,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panel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κ.α.)</w:t>
            </w:r>
          </w:p>
          <w:p w:rsidR="00953153" w:rsidRPr="002207DE" w:rsidRDefault="00953153" w:rsidP="0022624B">
            <w:pPr>
              <w:pStyle w:val="3"/>
              <w:spacing w:after="0" w:line="360" w:lineRule="auto"/>
              <w:jc w:val="both"/>
              <w:rPr>
                <w:rFonts w:ascii="Times New Roman" w:eastAsia="Meiryo" w:hAnsi="Times New Roman"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Σε όλα τα παραπάνω θα γίνει συσκευασία και ασφαλή μεταφορά τους – εγκατάσταση στο νέο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server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room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-  σύνδεση στο δίκτυο και έλεγχος λειτουργίας τους (εκτός από τον παλαιό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server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, το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disk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cabinet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και τον εξοπλισμό του παλαιού κόμβου τα οποία θα μεταφερθούν και θα αποθηκευτούν σε χώρο του νέου κτιρίου).</w:t>
            </w:r>
          </w:p>
        </w:tc>
        <w:tc>
          <w:tcPr>
            <w:tcW w:w="1275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694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</w:tr>
      <w:tr w:rsidR="00953153" w:rsidRPr="002207DE" w:rsidTr="0022624B">
        <w:tc>
          <w:tcPr>
            <w:tcW w:w="5778" w:type="dxa"/>
          </w:tcPr>
          <w:p w:rsidR="00953153" w:rsidRPr="002207DE" w:rsidRDefault="00953153" w:rsidP="0022624B">
            <w:pPr>
              <w:pStyle w:val="3"/>
              <w:spacing w:after="0" w:line="360" w:lineRule="auto"/>
              <w:ind w:left="0"/>
              <w:jc w:val="both"/>
              <w:rPr>
                <w:rFonts w:ascii="Times New Roman" w:eastAsia="Meiryo" w:hAnsi="Times New Roman"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Αποξήλωση 5 </w:t>
            </w:r>
            <w:proofErr w:type="spellStart"/>
            <w:r w:rsidRPr="002207DE">
              <w:rPr>
                <w:rFonts w:ascii="Times New Roman" w:eastAsia="Meiryo" w:hAnsi="Times New Roman"/>
                <w:sz w:val="18"/>
                <w:szCs w:val="18"/>
              </w:rPr>
              <w:t>επιτοίχιων</w:t>
            </w:r>
            <w:proofErr w:type="spellEnd"/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racks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(περιέχουν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switch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οπτικές ίνες και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panel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) και 5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panel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παλαιού τύπου – συσκευασία και μεταφορά τους στο νέο κτίριο.</w:t>
            </w:r>
          </w:p>
          <w:p w:rsidR="00953153" w:rsidRPr="002207DE" w:rsidRDefault="00953153" w:rsidP="0022624B">
            <w:pPr>
              <w:pStyle w:val="3"/>
              <w:spacing w:after="0" w:line="360" w:lineRule="auto"/>
              <w:ind w:left="0"/>
              <w:jc w:val="both"/>
              <w:rPr>
                <w:rFonts w:ascii="Times New Roman" w:eastAsia="Meiryo" w:hAnsi="Times New Roman"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Τα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switch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και τα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patch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panels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θα εγκατασταθούν σε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racks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 που θα υπάρχουν ήδη τοποθετημένα στο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server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</w:t>
            </w:r>
            <w:r w:rsidRPr="002207DE">
              <w:rPr>
                <w:rFonts w:ascii="Times New Roman" w:eastAsia="Meiryo" w:hAnsi="Times New Roman"/>
                <w:sz w:val="18"/>
                <w:szCs w:val="18"/>
                <w:lang w:val="en-US"/>
              </w:rPr>
              <w:t>room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t xml:space="preserve"> του νέου </w:t>
            </w:r>
            <w:r w:rsidRPr="002207DE">
              <w:rPr>
                <w:rFonts w:ascii="Times New Roman" w:eastAsia="Meiryo" w:hAnsi="Times New Roman"/>
                <w:sz w:val="18"/>
                <w:szCs w:val="18"/>
              </w:rPr>
              <w:lastRenderedPageBreak/>
              <w:t xml:space="preserve">κτιρίου – θα γίνει σύνδεση και έλεγχος λειτουργίας τους. </w:t>
            </w:r>
          </w:p>
        </w:tc>
        <w:tc>
          <w:tcPr>
            <w:tcW w:w="1275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694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</w:tr>
      <w:tr w:rsidR="00953153" w:rsidRPr="002207DE" w:rsidTr="0022624B">
        <w:tc>
          <w:tcPr>
            <w:tcW w:w="5778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2207DE">
              <w:rPr>
                <w:rFonts w:ascii="Times New Roman" w:eastAsia="Meiryo" w:hAnsi="Times New Roman"/>
                <w:sz w:val="18"/>
                <w:szCs w:val="18"/>
              </w:rPr>
              <w:lastRenderedPageBreak/>
              <w:t>Μεταφορά στο νέο κτίριο αναλώσιμων ειδών, καλωδίων δικτύου και γενικά διάφορων υλικών (μικρού εκτιμώμενου όγκου)</w:t>
            </w:r>
          </w:p>
        </w:tc>
        <w:tc>
          <w:tcPr>
            <w:tcW w:w="1275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694" w:type="dxa"/>
          </w:tcPr>
          <w:p w:rsidR="00953153" w:rsidRPr="002207DE" w:rsidRDefault="00953153" w:rsidP="0022624B">
            <w:pPr>
              <w:tabs>
                <w:tab w:val="left" w:pos="2430"/>
              </w:tabs>
              <w:spacing w:line="240" w:lineRule="auto"/>
              <w:contextualSpacing/>
              <w:rPr>
                <w:rFonts w:cs="Calibri"/>
                <w:b/>
                <w:szCs w:val="24"/>
              </w:rPr>
            </w:pPr>
          </w:p>
        </w:tc>
      </w:tr>
    </w:tbl>
    <w:p w:rsidR="00953153" w:rsidRDefault="00953153" w:rsidP="00953153">
      <w:pPr>
        <w:tabs>
          <w:tab w:val="left" w:pos="2430"/>
        </w:tabs>
        <w:spacing w:line="240" w:lineRule="auto"/>
        <w:contextualSpacing/>
        <w:rPr>
          <w:rFonts w:cs="Calibri"/>
          <w:b/>
          <w:szCs w:val="24"/>
        </w:rPr>
      </w:pP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</w:p>
    <w:p w:rsidR="00953153" w:rsidRDefault="00953153" w:rsidP="00953153">
      <w:pPr>
        <w:tabs>
          <w:tab w:val="left" w:pos="2430"/>
        </w:tabs>
        <w:spacing w:line="240" w:lineRule="auto"/>
        <w:ind w:left="2880"/>
        <w:contextualSpacing/>
        <w:rPr>
          <w:rFonts w:cs="Calibri"/>
          <w:szCs w:val="24"/>
        </w:rPr>
      </w:pP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  <w:lang w:val="en-US"/>
        </w:rPr>
        <w:t xml:space="preserve"> </w:t>
      </w:r>
      <w:r>
        <w:rPr>
          <w:rFonts w:cs="Calibri"/>
          <w:b/>
          <w:szCs w:val="24"/>
          <w:lang w:val="en-US"/>
        </w:rPr>
        <w:tab/>
      </w:r>
      <w:r>
        <w:rPr>
          <w:rFonts w:cs="Calibri"/>
          <w:b/>
          <w:szCs w:val="24"/>
          <w:lang w:val="en-US"/>
        </w:rPr>
        <w:tab/>
      </w:r>
      <w:r>
        <w:rPr>
          <w:rFonts w:cs="Calibri"/>
          <w:b/>
          <w:szCs w:val="24"/>
          <w:lang w:val="en-US"/>
        </w:rPr>
        <w:tab/>
      </w:r>
      <w:r>
        <w:rPr>
          <w:rFonts w:cs="Calibri"/>
          <w:szCs w:val="24"/>
        </w:rPr>
        <w:t>Ημερομηνία……………………</w:t>
      </w:r>
    </w:p>
    <w:p w:rsidR="00953153" w:rsidRPr="00636143" w:rsidRDefault="00953153" w:rsidP="00953153">
      <w:pPr>
        <w:tabs>
          <w:tab w:val="left" w:pos="2430"/>
        </w:tabs>
        <w:spacing w:line="240" w:lineRule="auto"/>
        <w:contextualSpacing/>
        <w:rPr>
          <w:rFonts w:cs="Calibri"/>
          <w:szCs w:val="24"/>
          <w:lang w:val="en-US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</w:p>
    <w:p w:rsidR="00D453BC" w:rsidRDefault="00953153" w:rsidP="00953153">
      <w:pPr>
        <w:ind w:left="-851"/>
      </w:pPr>
      <w:r w:rsidRPr="00636143">
        <w:rPr>
          <w:rFonts w:cs="Calibri"/>
          <w:szCs w:val="24"/>
        </w:rPr>
        <w:t xml:space="preserve"> </w:t>
      </w:r>
      <w:r w:rsidRPr="00636143">
        <w:rPr>
          <w:rFonts w:cs="Calibri"/>
          <w:szCs w:val="24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  <w:lang w:val="en-US"/>
        </w:rPr>
        <w:tab/>
      </w:r>
      <w:r>
        <w:rPr>
          <w:rFonts w:cs="Calibri"/>
          <w:szCs w:val="24"/>
        </w:rPr>
        <w:t>Υπογραφή</w:t>
      </w:r>
    </w:p>
    <w:sectPr w:rsidR="00D453BC" w:rsidSect="00D45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A64"/>
    <w:multiLevelType w:val="hybridMultilevel"/>
    <w:tmpl w:val="81E0DF9E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6575BD4"/>
    <w:multiLevelType w:val="hybridMultilevel"/>
    <w:tmpl w:val="56904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97184"/>
    <w:multiLevelType w:val="hybridMultilevel"/>
    <w:tmpl w:val="625A7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3153"/>
    <w:rsid w:val="00953153"/>
    <w:rsid w:val="00D4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unhideWhenUsed/>
    <w:rsid w:val="00953153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95315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2017-10-09T11:13:00Z</dcterms:created>
  <dcterms:modified xsi:type="dcterms:W3CDTF">2017-10-09T11:15:00Z</dcterms:modified>
</cp:coreProperties>
</file>