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48" w:rsidRPr="00D70DEA" w:rsidRDefault="00D70DEA" w:rsidP="00D70DEA">
      <w:pPr>
        <w:tabs>
          <w:tab w:val="left" w:pos="1134"/>
          <w:tab w:val="left" w:pos="7800"/>
        </w:tabs>
        <w:spacing w:before="120" w:after="120" w:line="276" w:lineRule="auto"/>
        <w:ind w:right="142"/>
        <w:jc w:val="right"/>
        <w:rPr>
          <w:rFonts w:ascii="Franklin Gothic Book" w:hAnsi="Franklin Gothic Book" w:cstheme="minorHAnsi"/>
          <w:sz w:val="24"/>
          <w:szCs w:val="24"/>
        </w:rPr>
      </w:pPr>
      <w:r w:rsidRPr="003E6D77">
        <w:rPr>
          <w:rFonts w:ascii="Franklin Gothic Book" w:hAnsi="Franklin Gothic Book" w:cstheme="minorHAnsi"/>
          <w:sz w:val="24"/>
          <w:szCs w:val="24"/>
        </w:rPr>
        <w:t>12</w:t>
      </w:r>
      <w:r w:rsidR="005145C1" w:rsidRPr="00D70DEA">
        <w:rPr>
          <w:rFonts w:ascii="Franklin Gothic Book" w:hAnsi="Franklin Gothic Book" w:cstheme="minorHAnsi"/>
          <w:sz w:val="24"/>
          <w:szCs w:val="24"/>
        </w:rPr>
        <w:t xml:space="preserve"> </w:t>
      </w:r>
      <w:r w:rsidR="00844B92" w:rsidRPr="00D70DEA">
        <w:rPr>
          <w:rFonts w:ascii="Franklin Gothic Book" w:hAnsi="Franklin Gothic Book" w:cstheme="minorHAnsi"/>
          <w:sz w:val="24"/>
          <w:szCs w:val="24"/>
        </w:rPr>
        <w:t>Οκτωβρίου</w:t>
      </w:r>
      <w:r w:rsidR="00427FC4" w:rsidRPr="00D70DEA">
        <w:rPr>
          <w:rFonts w:ascii="Franklin Gothic Book" w:hAnsi="Franklin Gothic Book" w:cstheme="minorHAnsi"/>
          <w:sz w:val="24"/>
          <w:szCs w:val="24"/>
        </w:rPr>
        <w:t xml:space="preserve"> 2023</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p>
    <w:p w:rsidR="00D70DEA" w:rsidRPr="00844B92" w:rsidRDefault="00D70DEA" w:rsidP="00D70DEA">
      <w:pPr>
        <w:spacing w:before="120" w:after="120" w:line="276" w:lineRule="auto"/>
        <w:jc w:val="both"/>
        <w:rPr>
          <w:rFonts w:ascii="Franklin Gothic Book" w:eastAsia="Times New Roman" w:hAnsi="Franklin Gothic Book" w:cs="Times New Roman"/>
          <w:b/>
          <w:bCs/>
          <w:sz w:val="24"/>
          <w:szCs w:val="24"/>
          <w:lang w:eastAsia="el-GR"/>
        </w:rPr>
      </w:pPr>
      <w:r w:rsidRPr="00844B92">
        <w:rPr>
          <w:rFonts w:ascii="Franklin Gothic Book" w:eastAsia="Times New Roman" w:hAnsi="Franklin Gothic Book" w:cs="Times New Roman"/>
          <w:b/>
          <w:bCs/>
          <w:sz w:val="24"/>
          <w:szCs w:val="24"/>
          <w:lang w:eastAsia="el-GR"/>
        </w:rPr>
        <w:t>ΑΑΔΕ και ΥΠΕΘΟ: Επέκταση λειτουργικών προδιαγραφών και χρονοδιάγραμμα διασύνδεσης των POS με τα Ταμειακά Συστήματα και την ΑΑΔΕ</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Η Ανεξάρτητη Αρχή Δημοσίων Εσόδων και το Υπουργείο Εθνικής Οικονομίας και Οικονομικών, κατόπιν διαβούλευσης με τους εμπλεκόμενους φορείς, συμπληρώνουν το κανονιστικό πλαίσιο για την πλήρη διασύνδεση POS και των Ταμειακών Συστημάτων των επιχειρήσεων με τα πληροφοριακά συστήματα της ΑΑΔΕ, εντάσσοντας σε αυτό τις νέες τεχνολογικές δυνατότητες έκδοσης παραστατικών μέσω ηλεκτρονικής τιμολόγησης και τα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που λειτουργούν μέσω λογισμικού (</w:t>
      </w:r>
      <w:r w:rsidRPr="00D70DEA">
        <w:rPr>
          <w:rFonts w:ascii="Franklin Gothic Book" w:eastAsia="Times New Roman" w:hAnsi="Franklin Gothic Book" w:cs="Times New Roman"/>
          <w:sz w:val="24"/>
          <w:szCs w:val="24"/>
          <w:lang w:val="en-US" w:eastAsia="el-GR"/>
        </w:rPr>
        <w:t>softPOS</w:t>
      </w:r>
      <w:r w:rsidRPr="00D70DEA">
        <w:rPr>
          <w:rFonts w:ascii="Franklin Gothic Book" w:eastAsia="Times New Roman" w:hAnsi="Franklin Gothic Book" w:cs="Times New Roman"/>
          <w:sz w:val="24"/>
          <w:szCs w:val="24"/>
          <w:lang w:eastAsia="el-GR"/>
        </w:rPr>
        <w:t>).</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Ταυτόχρονα, καθορίζεται το χρονοδιάγραμμα των επιμέρους βημάτων αναβάθμισης των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και ταμειακών συστημάτων και της μεταξύ τους διασύνδεσης.</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Ειδικότερα, με απόφαση του Υφυπουργού Εθνικής Οικονομίας και Οικονομικών, Χάρη Θεοχάρη,  καθορίζεται η υποχρέωση των Παρόχων Ηλεκτρονικής Τιμολόγησης να εφαρμόζουν τις λειτουργικές προδιαγραφές της ΑΑΔΕ, ώστε να διασφαλίζεται η διασύνδεσή τους με τα ταμειακά συστήματα που εξυπηρετούν με τα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που δέχονται πληρωμές για παραστατικά που εκδίδονται από αυτά.</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Ταυτόχρονα, με σειρά Αποφάσεων του Διοικητή της ΑΑΔΕ, Γιώργου Πιτσιλή:</w:t>
      </w:r>
    </w:p>
    <w:p w:rsidR="00D70DEA" w:rsidRPr="00D70DEA" w:rsidRDefault="00D70DEA" w:rsidP="00D70DEA">
      <w:pPr>
        <w:pStyle w:val="a5"/>
        <w:numPr>
          <w:ilvl w:val="0"/>
          <w:numId w:val="37"/>
        </w:numPr>
        <w:spacing w:before="120" w:after="120" w:line="276" w:lineRule="auto"/>
        <w:ind w:left="426"/>
        <w:contextualSpacing/>
        <w:rPr>
          <w:rFonts w:ascii="Franklin Gothic Book" w:hAnsi="Franklin Gothic Book"/>
          <w:sz w:val="24"/>
          <w:szCs w:val="24"/>
          <w:lang w:eastAsia="el-GR"/>
        </w:rPr>
      </w:pPr>
      <w:r w:rsidRPr="00D70DEA">
        <w:rPr>
          <w:rFonts w:ascii="Franklin Gothic Book" w:hAnsi="Franklin Gothic Book"/>
          <w:sz w:val="24"/>
          <w:szCs w:val="24"/>
          <w:lang w:eastAsia="el-GR"/>
        </w:rPr>
        <w:t>διευκολύνεται η διασύνδεση των επιχειρήσεων που χρησιμοποιούν ηλεκτρονική τιμολόγηση ή σύνθετα ταμειακά συστήματα.</w:t>
      </w:r>
    </w:p>
    <w:p w:rsidR="00D70DEA" w:rsidRPr="00D70DEA" w:rsidRDefault="00D70DEA" w:rsidP="00D70DEA">
      <w:pPr>
        <w:pStyle w:val="a5"/>
        <w:numPr>
          <w:ilvl w:val="0"/>
          <w:numId w:val="37"/>
        </w:numPr>
        <w:spacing w:before="120" w:after="120" w:line="276" w:lineRule="auto"/>
        <w:ind w:left="426"/>
        <w:contextualSpacing/>
        <w:rPr>
          <w:rFonts w:ascii="Franklin Gothic Book" w:hAnsi="Franklin Gothic Book"/>
          <w:sz w:val="24"/>
          <w:szCs w:val="24"/>
          <w:lang w:eastAsia="el-GR"/>
        </w:rPr>
      </w:pPr>
      <w:r w:rsidRPr="00D70DEA">
        <w:rPr>
          <w:rFonts w:ascii="Franklin Gothic Book" w:hAnsi="Franklin Gothic Book"/>
          <w:sz w:val="24"/>
          <w:szCs w:val="24"/>
          <w:lang w:eastAsia="el-GR"/>
        </w:rPr>
        <w:t xml:space="preserve">καθορίζεται η υποχρέωση των Παρόχων </w:t>
      </w:r>
      <w:bookmarkStart w:id="0" w:name="_Hlk148019474"/>
      <w:r w:rsidRPr="00D70DEA">
        <w:rPr>
          <w:rFonts w:ascii="Franklin Gothic Book" w:hAnsi="Franklin Gothic Book"/>
          <w:sz w:val="24"/>
          <w:szCs w:val="24"/>
          <w:lang w:eastAsia="el-GR"/>
        </w:rPr>
        <w:t xml:space="preserve">Υπηρεσιών Πληρωμών (Acquirers) και των Παρόχων Μέσων Πληρωμών (NSPs) </w:t>
      </w:r>
      <w:bookmarkEnd w:id="0"/>
      <w:r w:rsidRPr="00D70DEA">
        <w:rPr>
          <w:rFonts w:ascii="Franklin Gothic Book" w:hAnsi="Franklin Gothic Book"/>
          <w:sz w:val="24"/>
          <w:szCs w:val="24"/>
          <w:lang w:eastAsia="el-GR"/>
        </w:rPr>
        <w:t xml:space="preserve">να υποβάλουν Δήλωση Συμμόρφωσης προς τις λειτουργικές προδιαγραφές της ΑΑΔΕ, προκειμένου τα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που διαθέτουν στην ελληνική αγορά να συνεχίσουν να λειτουργούν νόμιμα.</w:t>
      </w:r>
    </w:p>
    <w:p w:rsidR="00D70DEA" w:rsidRPr="00D70DEA" w:rsidRDefault="00D70DEA" w:rsidP="00D70DEA">
      <w:pPr>
        <w:pStyle w:val="a5"/>
        <w:numPr>
          <w:ilvl w:val="0"/>
          <w:numId w:val="37"/>
        </w:numPr>
        <w:spacing w:before="120" w:after="120" w:line="276" w:lineRule="auto"/>
        <w:ind w:left="426"/>
        <w:contextualSpacing/>
        <w:rPr>
          <w:rFonts w:ascii="Franklin Gothic Book" w:hAnsi="Franklin Gothic Book"/>
          <w:sz w:val="24"/>
          <w:szCs w:val="24"/>
          <w:lang w:eastAsia="el-GR"/>
        </w:rPr>
      </w:pPr>
      <w:r w:rsidRPr="00D70DEA">
        <w:rPr>
          <w:rFonts w:ascii="Franklin Gothic Book" w:hAnsi="Franklin Gothic Book"/>
          <w:sz w:val="24"/>
          <w:szCs w:val="24"/>
          <w:lang w:eastAsia="el-GR"/>
        </w:rPr>
        <w:t>ορίζονται σαφώς οι χρόνοι και οι διαδικασίες για την αναβάθμιση των POS και τη διασύνδεσή τους με τα ταμειακά συστήματα των επιχειρήσεων.</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Με βάση τις ανωτέρω αποφάσεις, η διαδικασία διασύνδεσης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και ταμειακών συστημάτων διαμορφώνεται σε τρία στάδια:</w:t>
      </w:r>
    </w:p>
    <w:p w:rsidR="00D70DEA" w:rsidRPr="00D70DEA" w:rsidRDefault="00D70DEA" w:rsidP="00D70DEA">
      <w:pPr>
        <w:pStyle w:val="a5"/>
        <w:numPr>
          <w:ilvl w:val="0"/>
          <w:numId w:val="33"/>
        </w:numPr>
        <w:spacing w:before="120" w:after="120" w:line="276" w:lineRule="auto"/>
        <w:ind w:left="284"/>
        <w:contextualSpacing/>
        <w:rPr>
          <w:rFonts w:ascii="Franklin Gothic Book" w:hAnsi="Franklin Gothic Book"/>
          <w:sz w:val="24"/>
          <w:szCs w:val="24"/>
          <w:lang w:eastAsia="el-GR"/>
        </w:rPr>
      </w:pPr>
      <w:r w:rsidRPr="00D70DEA">
        <w:rPr>
          <w:rFonts w:ascii="Franklin Gothic Book" w:hAnsi="Franklin Gothic Book"/>
          <w:b/>
          <w:bCs/>
          <w:sz w:val="24"/>
          <w:szCs w:val="24"/>
          <w:lang w:eastAsia="el-GR"/>
        </w:rPr>
        <w:t>Στάδιο 1:</w:t>
      </w:r>
      <w:r w:rsidRPr="00D70DEA">
        <w:rPr>
          <w:rFonts w:ascii="Franklin Gothic Book" w:hAnsi="Franklin Gothic Book"/>
          <w:sz w:val="24"/>
          <w:szCs w:val="24"/>
          <w:lang w:eastAsia="el-GR"/>
        </w:rPr>
        <w:t xml:space="preserve"> Υποβολή Δήλωσης Συμμόρφωσης από τους Παρόχους Υπηρεσιών Πληρωμών (Acquirers) και των Παρόχων Μέσων Πληρωμών (NSPs) που εμπλέκονται με τη λειτουργία των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με την οποία δηλώνεται ότι τα συγκεκριμένα μοντέλα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τους εναρμονίζονται με τις προδιαγραφές της ΑΑΔΕ και δύνανται να αναβαθμιστούν. </w:t>
      </w:r>
    </w:p>
    <w:p w:rsidR="00D70DEA" w:rsidRPr="00D70DEA" w:rsidRDefault="00D70DEA" w:rsidP="00D70DEA">
      <w:pPr>
        <w:spacing w:before="120" w:after="120" w:line="276" w:lineRule="auto"/>
        <w:ind w:left="284"/>
        <w:jc w:val="both"/>
        <w:rPr>
          <w:rFonts w:ascii="Franklin Gothic Book" w:eastAsia="Times New Roman" w:hAnsi="Franklin Gothic Book" w:cs="Times New Roman"/>
          <w:sz w:val="24"/>
          <w:szCs w:val="24"/>
          <w:lang w:eastAsia="el-GR"/>
        </w:rPr>
      </w:pPr>
    </w:p>
    <w:p w:rsidR="00D70DEA" w:rsidRPr="00D70DEA" w:rsidRDefault="00D70DEA" w:rsidP="00D70DEA">
      <w:pPr>
        <w:spacing w:before="120" w:after="120" w:line="276" w:lineRule="auto"/>
        <w:ind w:left="284"/>
        <w:rPr>
          <w:rFonts w:ascii="Franklin Gothic Book" w:hAnsi="Franklin Gothic Book"/>
          <w:sz w:val="24"/>
          <w:szCs w:val="24"/>
          <w:lang w:eastAsia="el-GR"/>
        </w:rPr>
      </w:pPr>
      <w:r w:rsidRPr="00D70DEA">
        <w:rPr>
          <w:rFonts w:ascii="Franklin Gothic Book" w:hAnsi="Franklin Gothic Book"/>
          <w:sz w:val="24"/>
          <w:szCs w:val="24"/>
          <w:lang w:eastAsia="el-GR"/>
        </w:rPr>
        <w:t xml:space="preserve">Για τα μοντέλα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που λειτουργούν σήμερα στην ελληνική αγορά, </w:t>
      </w:r>
      <w:r w:rsidRPr="00D70DEA">
        <w:rPr>
          <w:rFonts w:ascii="Franklin Gothic Book" w:hAnsi="Franklin Gothic Book"/>
          <w:sz w:val="24"/>
          <w:szCs w:val="24"/>
          <w:lang w:val="en-US" w:eastAsia="el-GR"/>
        </w:rPr>
        <w:t>o</w:t>
      </w:r>
      <w:r w:rsidRPr="00D70DEA">
        <w:rPr>
          <w:rFonts w:ascii="Franklin Gothic Book" w:hAnsi="Franklin Gothic Book"/>
          <w:sz w:val="24"/>
          <w:szCs w:val="24"/>
          <w:lang w:eastAsia="el-GR"/>
        </w:rPr>
        <w:t>ι Δηλώσεις Συμμόρφωσης πρέπει να υποβληθούν:</w:t>
      </w:r>
    </w:p>
    <w:p w:rsidR="00D70DEA" w:rsidRPr="00D70DEA" w:rsidRDefault="00D70DEA" w:rsidP="00D70DEA">
      <w:pPr>
        <w:pStyle w:val="a5"/>
        <w:numPr>
          <w:ilvl w:val="0"/>
          <w:numId w:val="34"/>
        </w:numPr>
        <w:spacing w:before="120" w:after="120" w:line="276" w:lineRule="auto"/>
        <w:ind w:left="709"/>
        <w:contextualSpacing/>
        <w:rPr>
          <w:rFonts w:ascii="Franklin Gothic Book" w:hAnsi="Franklin Gothic Book"/>
          <w:sz w:val="24"/>
          <w:szCs w:val="24"/>
          <w:lang w:eastAsia="el-GR"/>
        </w:rPr>
      </w:pPr>
      <w:r w:rsidRPr="00D70DEA">
        <w:rPr>
          <w:rFonts w:ascii="Franklin Gothic Book" w:hAnsi="Franklin Gothic Book"/>
          <w:sz w:val="24"/>
          <w:szCs w:val="24"/>
          <w:lang w:eastAsia="el-GR"/>
        </w:rPr>
        <w:lastRenderedPageBreak/>
        <w:t xml:space="preserve">για ημεδαπούς Παρόχους, έως τις 24/10/2023 ή τις 24 Νοεμβρίου 2023, ανάλογα με τον τύπο διασύνδεσης του ταμειακού συστήματος και του </w:t>
      </w:r>
      <w:r w:rsidRPr="00D70DEA">
        <w:rPr>
          <w:rFonts w:ascii="Franklin Gothic Book" w:hAnsi="Franklin Gothic Book"/>
          <w:sz w:val="24"/>
          <w:szCs w:val="24"/>
          <w:lang w:val="en-US" w:eastAsia="el-GR"/>
        </w:rPr>
        <w:t>POS</w:t>
      </w:r>
    </w:p>
    <w:p w:rsidR="004F5537" w:rsidRDefault="00D70DEA" w:rsidP="00844B92">
      <w:pPr>
        <w:pStyle w:val="a5"/>
        <w:numPr>
          <w:ilvl w:val="0"/>
          <w:numId w:val="34"/>
        </w:numPr>
        <w:spacing w:before="120" w:after="120" w:line="276" w:lineRule="auto"/>
        <w:ind w:left="709"/>
        <w:contextualSpacing/>
        <w:rPr>
          <w:rFonts w:ascii="Franklin Gothic Book" w:hAnsi="Franklin Gothic Book"/>
          <w:sz w:val="24"/>
          <w:szCs w:val="24"/>
          <w:lang w:eastAsia="el-GR"/>
        </w:rPr>
      </w:pPr>
      <w:r w:rsidRPr="004F5537">
        <w:rPr>
          <w:rFonts w:ascii="Franklin Gothic Book" w:hAnsi="Franklin Gothic Book"/>
          <w:sz w:val="24"/>
          <w:szCs w:val="24"/>
          <w:lang w:eastAsia="el-GR"/>
        </w:rPr>
        <w:t xml:space="preserve">για αλλοδαπούς </w:t>
      </w:r>
      <w:proofErr w:type="spellStart"/>
      <w:r w:rsidRPr="004F5537">
        <w:rPr>
          <w:rFonts w:ascii="Franklin Gothic Book" w:hAnsi="Franklin Gothic Book"/>
          <w:sz w:val="24"/>
          <w:szCs w:val="24"/>
          <w:lang w:eastAsia="el-GR"/>
        </w:rPr>
        <w:t>Παρόχους</w:t>
      </w:r>
      <w:proofErr w:type="spellEnd"/>
      <w:r w:rsidRPr="004F5537">
        <w:rPr>
          <w:rFonts w:ascii="Franklin Gothic Book" w:hAnsi="Franklin Gothic Book"/>
          <w:sz w:val="24"/>
          <w:szCs w:val="24"/>
          <w:lang w:eastAsia="el-GR"/>
        </w:rPr>
        <w:t>, έως τις 24/</w:t>
      </w:r>
      <w:r w:rsidR="009C79A5" w:rsidRPr="004F5537">
        <w:rPr>
          <w:rFonts w:ascii="Franklin Gothic Book" w:hAnsi="Franklin Gothic Book"/>
          <w:sz w:val="24"/>
          <w:szCs w:val="24"/>
          <w:lang w:eastAsia="el-GR"/>
        </w:rPr>
        <w:t>11</w:t>
      </w:r>
      <w:r w:rsidR="00844B92">
        <w:rPr>
          <w:rFonts w:ascii="Franklin Gothic Book" w:hAnsi="Franklin Gothic Book"/>
          <w:sz w:val="24"/>
          <w:szCs w:val="24"/>
          <w:lang w:eastAsia="el-GR"/>
        </w:rPr>
        <w:t>/2023.</w:t>
      </w:r>
    </w:p>
    <w:p w:rsidR="00D70DEA" w:rsidRPr="004F5537" w:rsidRDefault="00D70DEA" w:rsidP="00844B92">
      <w:pPr>
        <w:pStyle w:val="a5"/>
        <w:spacing w:before="240" w:after="120" w:line="276" w:lineRule="auto"/>
        <w:ind w:left="709"/>
        <w:rPr>
          <w:rFonts w:ascii="Franklin Gothic Book" w:hAnsi="Franklin Gothic Book"/>
          <w:sz w:val="24"/>
          <w:szCs w:val="24"/>
          <w:lang w:eastAsia="el-GR"/>
        </w:rPr>
      </w:pPr>
      <w:bookmarkStart w:id="1" w:name="_GoBack"/>
      <w:bookmarkEnd w:id="1"/>
      <w:r w:rsidRPr="004F5537">
        <w:rPr>
          <w:rFonts w:ascii="Franklin Gothic Book" w:hAnsi="Franklin Gothic Book"/>
          <w:sz w:val="24"/>
          <w:szCs w:val="24"/>
          <w:lang w:eastAsia="el-GR"/>
        </w:rPr>
        <w:t xml:space="preserve">Στις Δηλώσεις αυτές, τίθενται προθεσμίες συμμόρφωσης των </w:t>
      </w:r>
      <w:r w:rsidRPr="004F5537">
        <w:rPr>
          <w:rFonts w:ascii="Franklin Gothic Book" w:hAnsi="Franklin Gothic Book"/>
          <w:sz w:val="24"/>
          <w:szCs w:val="24"/>
          <w:lang w:val="en-US" w:eastAsia="el-GR"/>
        </w:rPr>
        <w:t>POS</w:t>
      </w:r>
      <w:r w:rsidRPr="004F5537">
        <w:rPr>
          <w:rFonts w:ascii="Franklin Gothic Book" w:hAnsi="Franklin Gothic Book"/>
          <w:sz w:val="24"/>
          <w:szCs w:val="24"/>
          <w:lang w:eastAsia="el-GR"/>
        </w:rPr>
        <w:t xml:space="preserve"> με τις προδιαγραφές της ΑΑΔΕ οι οποίες διαμορφώνονται ως εξής:</w:t>
      </w:r>
    </w:p>
    <w:p w:rsidR="00D70DEA" w:rsidRPr="00D70DEA" w:rsidRDefault="00D70DEA" w:rsidP="00844B92">
      <w:pPr>
        <w:pStyle w:val="a5"/>
        <w:numPr>
          <w:ilvl w:val="0"/>
          <w:numId w:val="36"/>
        </w:numPr>
        <w:spacing w:before="120" w:after="120" w:line="276" w:lineRule="auto"/>
        <w:ind w:left="709"/>
        <w:contextualSpacing/>
        <w:rPr>
          <w:rFonts w:ascii="Franklin Gothic Book" w:hAnsi="Franklin Gothic Book"/>
          <w:sz w:val="24"/>
          <w:szCs w:val="24"/>
          <w:lang w:eastAsia="el-GR"/>
        </w:rPr>
      </w:pPr>
      <w:r w:rsidRPr="00D70DEA">
        <w:rPr>
          <w:rFonts w:ascii="Franklin Gothic Book" w:hAnsi="Franklin Gothic Book"/>
          <w:sz w:val="24"/>
          <w:szCs w:val="24"/>
          <w:lang w:eastAsia="el-GR"/>
        </w:rPr>
        <w:t>έως τις 17/11/2023, για τη διασύνδεση απλών ταμειακών μηχανών με ενσύρματα ή ασύρματα POS σε τοπικό δίκτυο από ημεδαπούς Παρόχους</w:t>
      </w:r>
    </w:p>
    <w:p w:rsidR="00D70DEA" w:rsidRPr="00D70DEA" w:rsidRDefault="00D70DEA" w:rsidP="00D70DEA">
      <w:pPr>
        <w:pStyle w:val="a5"/>
        <w:numPr>
          <w:ilvl w:val="0"/>
          <w:numId w:val="36"/>
        </w:numPr>
        <w:spacing w:before="120" w:after="120" w:line="276" w:lineRule="auto"/>
        <w:ind w:left="709"/>
        <w:contextualSpacing/>
        <w:rPr>
          <w:rFonts w:ascii="Franklin Gothic Book" w:hAnsi="Franklin Gothic Book"/>
          <w:sz w:val="24"/>
          <w:szCs w:val="24"/>
          <w:lang w:eastAsia="el-GR"/>
        </w:rPr>
      </w:pPr>
      <w:r w:rsidRPr="00D70DEA">
        <w:rPr>
          <w:rFonts w:ascii="Franklin Gothic Book" w:hAnsi="Franklin Gothic Book"/>
          <w:sz w:val="24"/>
          <w:szCs w:val="24"/>
          <w:lang w:eastAsia="el-GR"/>
        </w:rPr>
        <w:t>έως τις 8/12/2023, για την διασύνδεση απλών ταμειακών μηχανών με mobilePOS (4G) και softPOS από ημεδαπούς Παρόχους</w:t>
      </w:r>
    </w:p>
    <w:p w:rsidR="00D70DEA" w:rsidRPr="00D70DEA" w:rsidRDefault="00D70DEA" w:rsidP="00D70DEA">
      <w:pPr>
        <w:pStyle w:val="a5"/>
        <w:numPr>
          <w:ilvl w:val="0"/>
          <w:numId w:val="36"/>
        </w:numPr>
        <w:spacing w:before="120" w:after="120" w:line="276" w:lineRule="auto"/>
        <w:ind w:left="709"/>
        <w:contextualSpacing/>
        <w:rPr>
          <w:rFonts w:ascii="Franklin Gothic Book" w:hAnsi="Franklin Gothic Book"/>
          <w:sz w:val="24"/>
          <w:szCs w:val="24"/>
          <w:lang w:eastAsia="el-GR"/>
        </w:rPr>
      </w:pPr>
      <w:r w:rsidRPr="00D70DEA">
        <w:rPr>
          <w:rFonts w:ascii="Franklin Gothic Book" w:hAnsi="Franklin Gothic Book"/>
          <w:sz w:val="24"/>
          <w:szCs w:val="24"/>
          <w:lang w:eastAsia="el-GR"/>
        </w:rPr>
        <w:t xml:space="preserve">έως τις 8/1/2024, για την διασύνδεση των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με όλα τα σύνθετα ταμειακά συστήματα από ημεδαπούς Παρόχους, καθώς και κάθε διασύνδεση από αλλοδαπούς Παρόχους.</w:t>
      </w:r>
    </w:p>
    <w:p w:rsidR="00D70DEA" w:rsidRPr="00D70DEA" w:rsidRDefault="00D70DEA" w:rsidP="00D70DEA">
      <w:pPr>
        <w:pStyle w:val="a5"/>
        <w:spacing w:before="120" w:after="120" w:line="276" w:lineRule="auto"/>
        <w:ind w:left="284"/>
        <w:contextualSpacing/>
        <w:rPr>
          <w:rFonts w:ascii="Franklin Gothic Book" w:hAnsi="Franklin Gothic Book"/>
          <w:sz w:val="24"/>
          <w:szCs w:val="24"/>
          <w:lang w:eastAsia="el-GR"/>
        </w:rPr>
      </w:pPr>
    </w:p>
    <w:p w:rsidR="00D70DEA" w:rsidRPr="00D70DEA" w:rsidRDefault="00D70DEA" w:rsidP="00D70DEA">
      <w:pPr>
        <w:pStyle w:val="a5"/>
        <w:numPr>
          <w:ilvl w:val="0"/>
          <w:numId w:val="33"/>
        </w:numPr>
        <w:spacing w:before="120" w:after="120" w:line="276" w:lineRule="auto"/>
        <w:ind w:left="284"/>
        <w:contextualSpacing/>
        <w:rPr>
          <w:rFonts w:ascii="Franklin Gothic Book" w:hAnsi="Franklin Gothic Book"/>
          <w:sz w:val="24"/>
          <w:szCs w:val="24"/>
          <w:lang w:eastAsia="el-GR"/>
        </w:rPr>
      </w:pPr>
      <w:r w:rsidRPr="00D70DEA">
        <w:rPr>
          <w:rFonts w:ascii="Franklin Gothic Book" w:hAnsi="Franklin Gothic Book"/>
          <w:b/>
          <w:bCs/>
          <w:sz w:val="24"/>
          <w:szCs w:val="24"/>
          <w:lang w:eastAsia="el-GR"/>
        </w:rPr>
        <w:t>Στάδιο 2:</w:t>
      </w:r>
      <w:r w:rsidRPr="00D70DEA">
        <w:rPr>
          <w:rFonts w:ascii="Franklin Gothic Book" w:hAnsi="Franklin Gothic Book"/>
          <w:sz w:val="24"/>
          <w:szCs w:val="24"/>
          <w:lang w:eastAsia="el-GR"/>
        </w:rPr>
        <w:t xml:space="preserve"> Αναβάθμιση των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από τους Παρόχους και ενημέρωση της ΑΑΔΕ από τους Παρόχους για τις αναβαθμίσεις σε ημερήσια βάση.</w:t>
      </w:r>
    </w:p>
    <w:p w:rsidR="00D70DEA" w:rsidRPr="00D70DEA" w:rsidRDefault="00D70DEA" w:rsidP="00D70DEA">
      <w:pPr>
        <w:pStyle w:val="a5"/>
        <w:spacing w:before="120" w:after="120" w:line="276" w:lineRule="auto"/>
        <w:ind w:left="284"/>
        <w:rPr>
          <w:rFonts w:ascii="Franklin Gothic Book" w:hAnsi="Franklin Gothic Book"/>
          <w:sz w:val="24"/>
          <w:szCs w:val="24"/>
          <w:lang w:eastAsia="el-GR"/>
        </w:rPr>
      </w:pPr>
      <w:r w:rsidRPr="00D70DEA">
        <w:rPr>
          <w:rFonts w:ascii="Franklin Gothic Book" w:hAnsi="Franklin Gothic Book"/>
          <w:sz w:val="24"/>
          <w:szCs w:val="24"/>
          <w:lang w:eastAsia="el-GR"/>
        </w:rPr>
        <w:t xml:space="preserve">Οι Πάροχοι έχουν υποχρέωση να αναβαθμίσουν άμεσα τα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xml:space="preserve"> που διαχειρίζονται και να ενημερώνουν την ΑΑΔΕ κάθε ημέρα για τις αναβαθμίσεις που πραγματοποίησαν την προηγούμενη ημέρα.</w:t>
      </w:r>
    </w:p>
    <w:p w:rsidR="00D70DEA" w:rsidRPr="00D70DEA" w:rsidRDefault="00D70DEA" w:rsidP="00D70DEA">
      <w:pPr>
        <w:pStyle w:val="a5"/>
        <w:numPr>
          <w:ilvl w:val="0"/>
          <w:numId w:val="33"/>
        </w:numPr>
        <w:spacing w:before="120" w:after="120" w:line="276" w:lineRule="auto"/>
        <w:ind w:left="284"/>
        <w:contextualSpacing/>
        <w:rPr>
          <w:rFonts w:ascii="Franklin Gothic Book" w:hAnsi="Franklin Gothic Book"/>
          <w:sz w:val="24"/>
          <w:szCs w:val="24"/>
          <w:lang w:eastAsia="el-GR"/>
        </w:rPr>
      </w:pPr>
      <w:r w:rsidRPr="00D70DEA">
        <w:rPr>
          <w:rFonts w:ascii="Franklin Gothic Book" w:hAnsi="Franklin Gothic Book"/>
          <w:b/>
          <w:bCs/>
          <w:sz w:val="24"/>
          <w:szCs w:val="24"/>
          <w:lang w:eastAsia="el-GR"/>
        </w:rPr>
        <w:t>Στάδιο 3:</w:t>
      </w:r>
      <w:r w:rsidRPr="00D70DEA">
        <w:rPr>
          <w:rFonts w:ascii="Franklin Gothic Book" w:hAnsi="Franklin Gothic Book"/>
          <w:sz w:val="24"/>
          <w:szCs w:val="24"/>
          <w:lang w:eastAsia="el-GR"/>
        </w:rPr>
        <w:t xml:space="preserve"> Αναβάθμιση των ταμειακών συστημάτων, εφόσον απαιτείται και διασύνδεσή τους με τα </w:t>
      </w:r>
      <w:r w:rsidRPr="00D70DEA">
        <w:rPr>
          <w:rFonts w:ascii="Franklin Gothic Book" w:hAnsi="Franklin Gothic Book"/>
          <w:sz w:val="24"/>
          <w:szCs w:val="24"/>
          <w:lang w:val="en-US" w:eastAsia="el-GR"/>
        </w:rPr>
        <w:t>POS</w:t>
      </w:r>
      <w:r w:rsidRPr="00D70DEA">
        <w:rPr>
          <w:rFonts w:ascii="Franklin Gothic Book" w:hAnsi="Franklin Gothic Book"/>
          <w:sz w:val="24"/>
          <w:szCs w:val="24"/>
          <w:lang w:eastAsia="el-GR"/>
        </w:rPr>
        <w:t>, με ευθύνη των επιχειρήσεων που τα χρησιμοποιούν κατόπιν ειδοποίησής τους από την ΑΑΔΕ.</w:t>
      </w:r>
    </w:p>
    <w:p w:rsidR="00D70DEA" w:rsidRPr="00D70DEA" w:rsidRDefault="00D70DEA" w:rsidP="00D70DEA">
      <w:pPr>
        <w:spacing w:before="120" w:after="120" w:line="276" w:lineRule="auto"/>
        <w:ind w:left="284"/>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Οι επιχειρήσεις ειδοποιούνται από την ΑΑΔΕ με </w:t>
      </w:r>
      <w:r w:rsidRPr="00D70DEA">
        <w:rPr>
          <w:rFonts w:ascii="Franklin Gothic Book" w:eastAsia="Times New Roman" w:hAnsi="Franklin Gothic Book" w:cs="Times New Roman"/>
          <w:sz w:val="24"/>
          <w:szCs w:val="24"/>
          <w:lang w:val="en-US" w:eastAsia="el-GR"/>
        </w:rPr>
        <w:t>email</w:t>
      </w:r>
      <w:r w:rsidRPr="00D70DEA">
        <w:rPr>
          <w:rFonts w:ascii="Franklin Gothic Book" w:eastAsia="Times New Roman" w:hAnsi="Franklin Gothic Book" w:cs="Times New Roman"/>
          <w:sz w:val="24"/>
          <w:szCs w:val="24"/>
          <w:lang w:eastAsia="el-GR"/>
        </w:rPr>
        <w:t xml:space="preserve"> για την ολοκλήρωση της διαδικασίας αναβάθμισης από τους Παρόχους του συνόλου των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που διαθέτουν, όπως αυτά έχουν καταγραφεί στο Μητρώο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w:t>
      </w:r>
    </w:p>
    <w:p w:rsidR="00D70DEA" w:rsidRPr="00D70DEA" w:rsidRDefault="00D70DEA" w:rsidP="00D70DEA">
      <w:pPr>
        <w:spacing w:before="120" w:after="120" w:line="276" w:lineRule="auto"/>
        <w:ind w:left="284"/>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Από την ειδοποίηση αυτή υποχρεούνται, εντός 30 ημερών, να αναβαθμίσουν την ταμειακή μηχανή τους, εφόσον απαιτείται, και να ολοκληρώσουν τη διασύνδεση με τα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τους, καλώντας πιστοποιημένο τεχνικό ΦΗΜ.</w:t>
      </w:r>
    </w:p>
    <w:p w:rsidR="00D70DEA" w:rsidRPr="00D70DEA" w:rsidRDefault="00D70DEA" w:rsidP="00D70DEA">
      <w:pPr>
        <w:spacing w:before="120" w:after="120" w:line="276" w:lineRule="auto"/>
        <w:ind w:left="284"/>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Αντί της αναβάθμισης των υφιστάμενων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τους, </w:t>
      </w:r>
      <w:r w:rsidRPr="00D70DEA">
        <w:rPr>
          <w:rFonts w:ascii="Franklin Gothic Book" w:eastAsia="Times New Roman" w:hAnsi="Franklin Gothic Book" w:cs="Times New Roman"/>
          <w:sz w:val="24"/>
          <w:szCs w:val="24"/>
          <w:lang w:val="en-US" w:eastAsia="el-GR"/>
        </w:rPr>
        <w:t>o</w:t>
      </w:r>
      <w:r w:rsidRPr="00D70DEA">
        <w:rPr>
          <w:rFonts w:ascii="Franklin Gothic Book" w:eastAsia="Times New Roman" w:hAnsi="Franklin Gothic Book" w:cs="Times New Roman"/>
          <w:sz w:val="24"/>
          <w:szCs w:val="24"/>
          <w:lang w:eastAsia="el-GR"/>
        </w:rPr>
        <w:t xml:space="preserve">ι επιχειρήσεις μπορούν να δηλώσουν στο Μητρώο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το αργότερο έως τις 15/1/2024, ότι προτίθενται να τα αντικαταστήσουν με νέα, ήδη εναρμονισμένα με τις προδιαγραφές της ΑΑΔΕ.</w:t>
      </w:r>
    </w:p>
    <w:p w:rsidR="00D70DEA"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Σε κάθε περίπτωση, και ανεξάρτητα από το χρόνο στον οποίο θα λάβουν ατομική ειδοποίηση, οι επιχειρήσεις πρέπει να έχουν ολοκληρώσει την διασύνδεση των ταμειακών συστημάτων με τα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xml:space="preserve"> τους ή να έχουν αποκτήσει νέα συστήματα που πληρούν τις σχετικές προδιαγραφές το αργότερο μέχρι τις 29/2/2024.</w:t>
      </w:r>
    </w:p>
    <w:p w:rsidR="007C61C8" w:rsidRPr="00D70DEA" w:rsidRDefault="00D70DEA" w:rsidP="00D70DEA">
      <w:pPr>
        <w:spacing w:before="120" w:after="120" w:line="276" w:lineRule="auto"/>
        <w:jc w:val="both"/>
        <w:rPr>
          <w:rFonts w:ascii="Franklin Gothic Book" w:eastAsia="Times New Roman" w:hAnsi="Franklin Gothic Book" w:cs="Times New Roman"/>
          <w:sz w:val="24"/>
          <w:szCs w:val="24"/>
          <w:lang w:eastAsia="el-GR"/>
        </w:rPr>
      </w:pPr>
      <w:r w:rsidRPr="00D70DEA">
        <w:rPr>
          <w:rFonts w:ascii="Franklin Gothic Book" w:eastAsia="Times New Roman" w:hAnsi="Franklin Gothic Book" w:cs="Times New Roman"/>
          <w:sz w:val="24"/>
          <w:szCs w:val="24"/>
          <w:lang w:eastAsia="el-GR"/>
        </w:rPr>
        <w:t xml:space="preserve">Προσεχώς, σε συνεργασία με την Κοινωνία της Πληροφορίας, θα επανεκκινήσουν τα προγράμματα ενισχύσεων για απόκτηση ή αντικατάσταση </w:t>
      </w:r>
      <w:r w:rsidRPr="00D70DEA">
        <w:rPr>
          <w:rFonts w:ascii="Franklin Gothic Book" w:eastAsia="Times New Roman" w:hAnsi="Franklin Gothic Book" w:cs="Times New Roman"/>
          <w:sz w:val="24"/>
          <w:szCs w:val="24"/>
          <w:lang w:val="en-US" w:eastAsia="el-GR"/>
        </w:rPr>
        <w:t>POS</w:t>
      </w:r>
      <w:r w:rsidRPr="00D70DEA">
        <w:rPr>
          <w:rFonts w:ascii="Franklin Gothic Book" w:eastAsia="Times New Roman" w:hAnsi="Franklin Gothic Book" w:cs="Times New Roman"/>
          <w:sz w:val="24"/>
          <w:szCs w:val="24"/>
          <w:lang w:eastAsia="el-GR"/>
        </w:rPr>
        <w:t>, παλαιών φορολογικών μηχανισμών κλπ, και θα εμπλουτιστούν και με τις νέες τεχνολογικές λύσεις που καλύπτονται από τις σχετικές αποφάσεις του Διοικητή της ΑΑΔΕ.</w:t>
      </w:r>
    </w:p>
    <w:sectPr w:rsidR="007C61C8" w:rsidRPr="00D70DEA"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0FD" w:rsidRDefault="003A60FD" w:rsidP="00903640">
      <w:pPr>
        <w:spacing w:after="0" w:line="240" w:lineRule="auto"/>
      </w:pPr>
      <w:r>
        <w:separator/>
      </w:r>
    </w:p>
  </w:endnote>
  <w:endnote w:type="continuationSeparator" w:id="0">
    <w:p w:rsidR="003A60FD" w:rsidRDefault="003A60FD" w:rsidP="0090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0FD" w:rsidRDefault="003A60FD" w:rsidP="00903640">
      <w:pPr>
        <w:spacing w:after="0" w:line="240" w:lineRule="auto"/>
      </w:pPr>
      <w:r>
        <w:separator/>
      </w:r>
    </w:p>
  </w:footnote>
  <w:footnote w:type="continuationSeparator" w:id="0">
    <w:p w:rsidR="003A60FD" w:rsidRDefault="003A60FD" w:rsidP="00903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40" w:rsidRDefault="00903640" w:rsidP="00BC34EF">
    <w:pPr>
      <w:pStyle w:val="a3"/>
      <w:tabs>
        <w:tab w:val="clear" w:pos="8306"/>
      </w:tabs>
      <w:ind w:left="-1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95" w:rsidRDefault="00C9168C"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simplePos x="0" y="0"/>
          <wp:positionH relativeFrom="column">
            <wp:posOffset>-1068705</wp:posOffset>
          </wp:positionH>
          <wp:positionV relativeFrom="paragraph">
            <wp:posOffset>0</wp:posOffset>
          </wp:positionV>
          <wp:extent cx="7466965" cy="1053465"/>
          <wp:effectExtent l="0" t="0" r="635" b="635"/>
          <wp:wrapTight wrapText="bothSides">
            <wp:wrapPolygon edited="0">
              <wp:start x="0" y="0"/>
              <wp:lineTo x="0" y="21353"/>
              <wp:lineTo x="21565" y="21353"/>
              <wp:lineTo x="21565" y="0"/>
              <wp:lineTo x="0" y="0"/>
            </wp:wrapPolygon>
          </wp:wrapTight>
          <wp:docPr id="638426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466965" cy="1053465"/>
                  </a:xfrm>
                  <a:prstGeom prst="rect">
                    <a:avLst/>
                  </a:prstGeom>
                </pic:spPr>
              </pic:pic>
            </a:graphicData>
          </a:graphic>
        </wp:anchor>
      </w:drawing>
    </w:r>
  </w:p>
  <w:p w:rsidR="00524F85" w:rsidRDefault="00524F85" w:rsidP="009821BA">
    <w:pPr>
      <w:pStyle w:val="a3"/>
      <w:tabs>
        <w:tab w:val="clear" w:pos="8306"/>
      </w:tabs>
      <w:ind w:left="-426" w:right="-1700" w:firstLine="1"/>
    </w:pPr>
  </w:p>
  <w:p w:rsidR="00524F85" w:rsidRDefault="00524F85" w:rsidP="00002D79">
    <w:pPr>
      <w:pStyle w:val="a3"/>
      <w:tabs>
        <w:tab w:val="clear" w:pos="8306"/>
      </w:tabs>
      <w:ind w:left="-426" w:right="-1759" w:firstLine="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35E"/>
    <w:multiLevelType w:val="hybridMultilevel"/>
    <w:tmpl w:val="4D4A7B7E"/>
    <w:numStyleLink w:val="ImportedStyle1"/>
  </w:abstractNum>
  <w:abstractNum w:abstractNumId="1">
    <w:nsid w:val="02F814AF"/>
    <w:multiLevelType w:val="multilevel"/>
    <w:tmpl w:val="684A7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C616EB4"/>
    <w:multiLevelType w:val="hybridMultilevel"/>
    <w:tmpl w:val="57B42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DCE2DFE"/>
    <w:multiLevelType w:val="hybridMultilevel"/>
    <w:tmpl w:val="4AFAC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B8069D"/>
    <w:multiLevelType w:val="hybridMultilevel"/>
    <w:tmpl w:val="4D703C7E"/>
    <w:numStyleLink w:val="ImportedStyle3"/>
  </w:abstractNum>
  <w:abstractNum w:abstractNumId="6">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9E470F"/>
    <w:multiLevelType w:val="hybridMultilevel"/>
    <w:tmpl w:val="9DA40A5A"/>
    <w:lvl w:ilvl="0" w:tplc="EE78F492">
      <w:numFmt w:val="bullet"/>
      <w:lvlText w:val="-"/>
      <w:lvlJc w:val="left"/>
      <w:pPr>
        <w:ind w:left="1080" w:hanging="360"/>
      </w:pPr>
      <w:rPr>
        <w:rFonts w:ascii="Calibri" w:eastAsia="Times New Roman" w:hAnsi="Calibri" w:cs="Calibri"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3CD38EC"/>
    <w:multiLevelType w:val="hybridMultilevel"/>
    <w:tmpl w:val="D84EBF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59C7C63"/>
    <w:multiLevelType w:val="hybridMultilevel"/>
    <w:tmpl w:val="8C620154"/>
    <w:styleLink w:val="ImportedStyle2"/>
    <w:lvl w:ilvl="0" w:tplc="4EEC24BC">
      <w:start w:val="1"/>
      <w:numFmt w:val="upperRoman"/>
      <w:lvlText w:val="%1."/>
      <w:lvlJc w:val="left"/>
      <w:pPr>
        <w:ind w:left="720" w:hanging="482"/>
      </w:pPr>
      <w:rPr>
        <w:rFonts w:hAnsi="Arial Unicode MS"/>
        <w:b/>
        <w:bCs/>
        <w:caps w:val="0"/>
        <w:smallCaps w:val="0"/>
        <w:strike w:val="0"/>
        <w:dstrike w:val="0"/>
        <w:color w:val="000000"/>
        <w:spacing w:val="0"/>
        <w:w w:val="100"/>
        <w:kern w:val="0"/>
        <w:position w:val="0"/>
        <w:highlight w:val="none"/>
        <w:vertAlign w:val="baseline"/>
      </w:rPr>
    </w:lvl>
    <w:lvl w:ilvl="1" w:tplc="B2A288B0">
      <w:start w:val="1"/>
      <w:numFmt w:val="upp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866990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3" w:tplc="A6DCAE76">
      <w:start w:val="1"/>
      <w:numFmt w:val="lowerLetter"/>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440C00C">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3C226EF8">
      <w:start w:val="1"/>
      <w:numFmt w:val="lowerLetter"/>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rPr>
    </w:lvl>
    <w:lvl w:ilvl="6" w:tplc="B12434DE">
      <w:start w:val="1"/>
      <w:numFmt w:val="lowerRoman"/>
      <w:lvlText w:val="(%7)"/>
      <w:lvlJc w:val="left"/>
      <w:pPr>
        <w:ind w:left="5040" w:hanging="482"/>
      </w:pPr>
      <w:rPr>
        <w:rFonts w:hAnsi="Arial Unicode MS"/>
        <w:b/>
        <w:bCs/>
        <w:caps w:val="0"/>
        <w:smallCaps w:val="0"/>
        <w:strike w:val="0"/>
        <w:dstrike w:val="0"/>
        <w:color w:val="000000"/>
        <w:spacing w:val="0"/>
        <w:w w:val="100"/>
        <w:kern w:val="0"/>
        <w:position w:val="0"/>
        <w:highlight w:val="none"/>
        <w:vertAlign w:val="baseline"/>
      </w:rPr>
    </w:lvl>
    <w:lvl w:ilvl="7" w:tplc="815C4CD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A79EDF0E">
      <w:start w:val="1"/>
      <w:numFmt w:val="lowerRoman"/>
      <w:lvlText w:val="(%9)"/>
      <w:lvlJc w:val="left"/>
      <w:pPr>
        <w:ind w:left="6480" w:hanging="482"/>
      </w:pPr>
      <w:rPr>
        <w:rFonts w:hAnsi="Arial Unicode MS"/>
        <w:b/>
        <w:bCs/>
        <w:caps w:val="0"/>
        <w:smallCaps w:val="0"/>
        <w:strike w:val="0"/>
        <w:dstrike w:val="0"/>
        <w:color w:val="000000"/>
        <w:spacing w:val="0"/>
        <w:w w:val="100"/>
        <w:kern w:val="0"/>
        <w:position w:val="0"/>
        <w:highlight w:val="none"/>
        <w:vertAlign w:val="baseline"/>
      </w:rPr>
    </w:lvl>
  </w:abstractNum>
  <w:abstractNum w:abstractNumId="10">
    <w:nsid w:val="26333284"/>
    <w:multiLevelType w:val="hybridMultilevel"/>
    <w:tmpl w:val="4D4A7B7E"/>
    <w:styleLink w:val="ImportedStyle1"/>
    <w:lvl w:ilvl="0" w:tplc="08260D7A">
      <w:start w:val="1"/>
      <w:numFmt w:val="bullet"/>
      <w:lvlText w:val="-"/>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3D81306">
      <w:start w:val="1"/>
      <w:numFmt w:val="bullet"/>
      <w:lvlText w:val="-"/>
      <w:lvlJc w:val="left"/>
      <w:pPr>
        <w:ind w:left="1434" w:hanging="357"/>
      </w:pPr>
      <w:rPr>
        <w:rFonts w:hAnsi="Arial Unicode MS"/>
        <w:caps w:val="0"/>
        <w:smallCaps w:val="0"/>
        <w:strike w:val="0"/>
        <w:dstrike w:val="0"/>
        <w:color w:val="000000"/>
        <w:spacing w:val="0"/>
        <w:w w:val="100"/>
        <w:kern w:val="0"/>
        <w:position w:val="0"/>
        <w:highlight w:val="none"/>
        <w:vertAlign w:val="baseline"/>
      </w:rPr>
    </w:lvl>
    <w:lvl w:ilvl="2" w:tplc="3E2EC80C">
      <w:start w:val="1"/>
      <w:numFmt w:val="bullet"/>
      <w:lvlText w:val="-"/>
      <w:lvlJc w:val="left"/>
      <w:pPr>
        <w:ind w:left="2154" w:hanging="357"/>
      </w:pPr>
      <w:rPr>
        <w:rFonts w:hAnsi="Arial Unicode MS"/>
        <w:caps w:val="0"/>
        <w:smallCaps w:val="0"/>
        <w:strike w:val="0"/>
        <w:dstrike w:val="0"/>
        <w:color w:val="000000"/>
        <w:spacing w:val="0"/>
        <w:w w:val="100"/>
        <w:kern w:val="0"/>
        <w:position w:val="0"/>
        <w:highlight w:val="none"/>
        <w:vertAlign w:val="baseline"/>
      </w:rPr>
    </w:lvl>
    <w:lvl w:ilvl="3" w:tplc="236891BC">
      <w:start w:val="1"/>
      <w:numFmt w:val="bullet"/>
      <w:lvlText w:val="-"/>
      <w:lvlJc w:val="left"/>
      <w:pPr>
        <w:ind w:left="2874" w:hanging="357"/>
      </w:pPr>
      <w:rPr>
        <w:rFonts w:hAnsi="Arial Unicode MS"/>
        <w:caps w:val="0"/>
        <w:smallCaps w:val="0"/>
        <w:strike w:val="0"/>
        <w:dstrike w:val="0"/>
        <w:color w:val="000000"/>
        <w:spacing w:val="0"/>
        <w:w w:val="100"/>
        <w:kern w:val="0"/>
        <w:position w:val="0"/>
        <w:highlight w:val="none"/>
        <w:vertAlign w:val="baseline"/>
      </w:rPr>
    </w:lvl>
    <w:lvl w:ilvl="4" w:tplc="5DAAB140">
      <w:start w:val="1"/>
      <w:numFmt w:val="bullet"/>
      <w:lvlText w:val="-"/>
      <w:lvlJc w:val="left"/>
      <w:pPr>
        <w:ind w:left="3594" w:hanging="357"/>
      </w:pPr>
      <w:rPr>
        <w:rFonts w:hAnsi="Arial Unicode MS"/>
        <w:caps w:val="0"/>
        <w:smallCaps w:val="0"/>
        <w:strike w:val="0"/>
        <w:dstrike w:val="0"/>
        <w:color w:val="000000"/>
        <w:spacing w:val="0"/>
        <w:w w:val="100"/>
        <w:kern w:val="0"/>
        <w:position w:val="0"/>
        <w:highlight w:val="none"/>
        <w:vertAlign w:val="baseline"/>
      </w:rPr>
    </w:lvl>
    <w:lvl w:ilvl="5" w:tplc="6318EB94">
      <w:start w:val="1"/>
      <w:numFmt w:val="bullet"/>
      <w:lvlText w:val="-"/>
      <w:lvlJc w:val="left"/>
      <w:pPr>
        <w:ind w:left="4314" w:hanging="357"/>
      </w:pPr>
      <w:rPr>
        <w:rFonts w:hAnsi="Arial Unicode MS"/>
        <w:caps w:val="0"/>
        <w:smallCaps w:val="0"/>
        <w:strike w:val="0"/>
        <w:dstrike w:val="0"/>
        <w:color w:val="000000"/>
        <w:spacing w:val="0"/>
        <w:w w:val="100"/>
        <w:kern w:val="0"/>
        <w:position w:val="0"/>
        <w:highlight w:val="none"/>
        <w:vertAlign w:val="baseline"/>
      </w:rPr>
    </w:lvl>
    <w:lvl w:ilvl="6" w:tplc="2DF6B6C0">
      <w:start w:val="1"/>
      <w:numFmt w:val="bullet"/>
      <w:lvlText w:val="-"/>
      <w:lvlJc w:val="left"/>
      <w:pPr>
        <w:ind w:left="5034" w:hanging="357"/>
      </w:pPr>
      <w:rPr>
        <w:rFonts w:hAnsi="Arial Unicode MS"/>
        <w:caps w:val="0"/>
        <w:smallCaps w:val="0"/>
        <w:strike w:val="0"/>
        <w:dstrike w:val="0"/>
        <w:color w:val="000000"/>
        <w:spacing w:val="0"/>
        <w:w w:val="100"/>
        <w:kern w:val="0"/>
        <w:position w:val="0"/>
        <w:highlight w:val="none"/>
        <w:vertAlign w:val="baseline"/>
      </w:rPr>
    </w:lvl>
    <w:lvl w:ilvl="7" w:tplc="70003F32">
      <w:start w:val="1"/>
      <w:numFmt w:val="bullet"/>
      <w:lvlText w:val="-"/>
      <w:lvlJc w:val="left"/>
      <w:pPr>
        <w:ind w:left="5754" w:hanging="357"/>
      </w:pPr>
      <w:rPr>
        <w:rFonts w:hAnsi="Arial Unicode MS"/>
        <w:caps w:val="0"/>
        <w:smallCaps w:val="0"/>
        <w:strike w:val="0"/>
        <w:dstrike w:val="0"/>
        <w:color w:val="000000"/>
        <w:spacing w:val="0"/>
        <w:w w:val="100"/>
        <w:kern w:val="0"/>
        <w:position w:val="0"/>
        <w:highlight w:val="none"/>
        <w:vertAlign w:val="baseline"/>
      </w:rPr>
    </w:lvl>
    <w:lvl w:ilvl="8" w:tplc="DEDA0DB0">
      <w:start w:val="1"/>
      <w:numFmt w:val="bullet"/>
      <w:lvlText w:val="-"/>
      <w:lvlJc w:val="left"/>
      <w:pPr>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11">
    <w:nsid w:val="2B050927"/>
    <w:multiLevelType w:val="multilevel"/>
    <w:tmpl w:val="7AD6F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E333FA"/>
    <w:multiLevelType w:val="hybridMultilevel"/>
    <w:tmpl w:val="92D8F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2D2FD8"/>
    <w:multiLevelType w:val="hybridMultilevel"/>
    <w:tmpl w:val="025CE754"/>
    <w:lvl w:ilvl="0" w:tplc="EC8C764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32977D76"/>
    <w:multiLevelType w:val="multilevel"/>
    <w:tmpl w:val="BEDC8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3AF03C5"/>
    <w:multiLevelType w:val="hybridMultilevel"/>
    <w:tmpl w:val="91225550"/>
    <w:lvl w:ilvl="0" w:tplc="EC8C764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343472AB"/>
    <w:multiLevelType w:val="hybridMultilevel"/>
    <w:tmpl w:val="CC486FB2"/>
    <w:lvl w:ilvl="0" w:tplc="04080001">
      <w:start w:val="1"/>
      <w:numFmt w:val="bullet"/>
      <w:lvlText w:val=""/>
      <w:lvlJc w:val="left"/>
      <w:pPr>
        <w:ind w:left="1504" w:hanging="360"/>
      </w:pPr>
      <w:rPr>
        <w:rFonts w:ascii="Symbol" w:hAnsi="Symbol" w:hint="default"/>
      </w:rPr>
    </w:lvl>
    <w:lvl w:ilvl="1" w:tplc="04080003">
      <w:start w:val="1"/>
      <w:numFmt w:val="bullet"/>
      <w:lvlText w:val="o"/>
      <w:lvlJc w:val="left"/>
      <w:pPr>
        <w:ind w:left="2224" w:hanging="360"/>
      </w:pPr>
      <w:rPr>
        <w:rFonts w:ascii="Courier New" w:hAnsi="Courier New" w:cs="Courier New" w:hint="default"/>
      </w:rPr>
    </w:lvl>
    <w:lvl w:ilvl="2" w:tplc="04080005">
      <w:start w:val="1"/>
      <w:numFmt w:val="bullet"/>
      <w:lvlText w:val=""/>
      <w:lvlJc w:val="left"/>
      <w:pPr>
        <w:ind w:left="2944" w:hanging="360"/>
      </w:pPr>
      <w:rPr>
        <w:rFonts w:ascii="Wingdings" w:hAnsi="Wingdings" w:hint="default"/>
      </w:rPr>
    </w:lvl>
    <w:lvl w:ilvl="3" w:tplc="04080001">
      <w:start w:val="1"/>
      <w:numFmt w:val="bullet"/>
      <w:lvlText w:val=""/>
      <w:lvlJc w:val="left"/>
      <w:pPr>
        <w:ind w:left="3664" w:hanging="360"/>
      </w:pPr>
      <w:rPr>
        <w:rFonts w:ascii="Symbol" w:hAnsi="Symbol" w:hint="default"/>
      </w:rPr>
    </w:lvl>
    <w:lvl w:ilvl="4" w:tplc="04080003">
      <w:start w:val="1"/>
      <w:numFmt w:val="bullet"/>
      <w:lvlText w:val="o"/>
      <w:lvlJc w:val="left"/>
      <w:pPr>
        <w:ind w:left="4384" w:hanging="360"/>
      </w:pPr>
      <w:rPr>
        <w:rFonts w:ascii="Courier New" w:hAnsi="Courier New" w:cs="Courier New" w:hint="default"/>
      </w:rPr>
    </w:lvl>
    <w:lvl w:ilvl="5" w:tplc="04080005">
      <w:start w:val="1"/>
      <w:numFmt w:val="bullet"/>
      <w:lvlText w:val=""/>
      <w:lvlJc w:val="left"/>
      <w:pPr>
        <w:ind w:left="5104" w:hanging="360"/>
      </w:pPr>
      <w:rPr>
        <w:rFonts w:ascii="Wingdings" w:hAnsi="Wingdings" w:hint="default"/>
      </w:rPr>
    </w:lvl>
    <w:lvl w:ilvl="6" w:tplc="04080001">
      <w:start w:val="1"/>
      <w:numFmt w:val="bullet"/>
      <w:lvlText w:val=""/>
      <w:lvlJc w:val="left"/>
      <w:pPr>
        <w:ind w:left="5824" w:hanging="360"/>
      </w:pPr>
      <w:rPr>
        <w:rFonts w:ascii="Symbol" w:hAnsi="Symbol" w:hint="default"/>
      </w:rPr>
    </w:lvl>
    <w:lvl w:ilvl="7" w:tplc="04080003">
      <w:start w:val="1"/>
      <w:numFmt w:val="bullet"/>
      <w:lvlText w:val="o"/>
      <w:lvlJc w:val="left"/>
      <w:pPr>
        <w:ind w:left="6544" w:hanging="360"/>
      </w:pPr>
      <w:rPr>
        <w:rFonts w:ascii="Courier New" w:hAnsi="Courier New" w:cs="Courier New" w:hint="default"/>
      </w:rPr>
    </w:lvl>
    <w:lvl w:ilvl="8" w:tplc="04080005">
      <w:start w:val="1"/>
      <w:numFmt w:val="bullet"/>
      <w:lvlText w:val=""/>
      <w:lvlJc w:val="left"/>
      <w:pPr>
        <w:ind w:left="7264" w:hanging="360"/>
      </w:pPr>
      <w:rPr>
        <w:rFonts w:ascii="Wingdings" w:hAnsi="Wingdings" w:hint="default"/>
      </w:rPr>
    </w:lvl>
  </w:abstractNum>
  <w:abstractNum w:abstractNumId="17">
    <w:nsid w:val="3EB61CF0"/>
    <w:multiLevelType w:val="hybridMultilevel"/>
    <w:tmpl w:val="24EA83FC"/>
    <w:lvl w:ilvl="0" w:tplc="6316D6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42573E15"/>
    <w:multiLevelType w:val="hybridMultilevel"/>
    <w:tmpl w:val="DDE414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42A75385"/>
    <w:multiLevelType w:val="hybridMultilevel"/>
    <w:tmpl w:val="4AB2F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35C721B"/>
    <w:multiLevelType w:val="hybridMultilevel"/>
    <w:tmpl w:val="D53CFFEE"/>
    <w:numStyleLink w:val="ImportedStyle5"/>
  </w:abstractNum>
  <w:abstractNum w:abstractNumId="21">
    <w:nsid w:val="44123C27"/>
    <w:multiLevelType w:val="multilevel"/>
    <w:tmpl w:val="E0E8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6451688"/>
    <w:multiLevelType w:val="hybridMultilevel"/>
    <w:tmpl w:val="8CBA5B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8F64324"/>
    <w:multiLevelType w:val="hybridMultilevel"/>
    <w:tmpl w:val="8C620154"/>
    <w:numStyleLink w:val="ImportedStyle2"/>
  </w:abstractNum>
  <w:abstractNum w:abstractNumId="24">
    <w:nsid w:val="51A327AA"/>
    <w:multiLevelType w:val="hybridMultilevel"/>
    <w:tmpl w:val="D53CFFEE"/>
    <w:styleLink w:val="ImportedStyle5"/>
    <w:lvl w:ilvl="0" w:tplc="DB94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85CD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CA7D1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02D608A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7A6CC9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2DE723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31C6C43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466A2C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5648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928095A"/>
    <w:multiLevelType w:val="hybridMultilevel"/>
    <w:tmpl w:val="A822A2CE"/>
    <w:numStyleLink w:val="ImportedStyle4"/>
  </w:abstractNum>
  <w:abstractNum w:abstractNumId="26">
    <w:nsid w:val="5A275620"/>
    <w:multiLevelType w:val="hybridMultilevel"/>
    <w:tmpl w:val="A5F0561C"/>
    <w:lvl w:ilvl="0" w:tplc="04080001">
      <w:start w:val="1"/>
      <w:numFmt w:val="bullet"/>
      <w:lvlText w:val=""/>
      <w:lvlJc w:val="left"/>
      <w:pPr>
        <w:ind w:left="1440" w:hanging="360"/>
      </w:pPr>
      <w:rPr>
        <w:rFonts w:ascii="Symbol" w:hAnsi="Symbol" w:hint="default"/>
      </w:rPr>
    </w:lvl>
    <w:lvl w:ilvl="1" w:tplc="EE78F492">
      <w:numFmt w:val="bullet"/>
      <w:lvlText w:val="-"/>
      <w:lvlJc w:val="left"/>
      <w:pPr>
        <w:ind w:left="2160" w:hanging="360"/>
      </w:pPr>
      <w:rPr>
        <w:rFonts w:ascii="Calibri" w:eastAsia="Times New Roman"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5D7B77A5"/>
    <w:multiLevelType w:val="hybridMultilevel"/>
    <w:tmpl w:val="A822A2CE"/>
    <w:styleLink w:val="ImportedStyle4"/>
    <w:lvl w:ilvl="0" w:tplc="601A41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B67B9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F7873D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79C8613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D8A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F9A953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D78E0F5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58089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A90DA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8">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111D33"/>
    <w:multiLevelType w:val="multilevel"/>
    <w:tmpl w:val="D7D47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E793F43"/>
    <w:multiLevelType w:val="hybridMultilevel"/>
    <w:tmpl w:val="4D703C7E"/>
    <w:styleLink w:val="ImportedStyle3"/>
    <w:lvl w:ilvl="0" w:tplc="18C82B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B14C4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620E50A8">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rPr>
    </w:lvl>
    <w:lvl w:ilvl="3" w:tplc="92FC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6BECF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D368968">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rPr>
    </w:lvl>
    <w:lvl w:ilvl="6" w:tplc="BD04C9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32EB2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F9C9212">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rPr>
    </w:lvl>
  </w:abstractNum>
  <w:abstractNum w:abstractNumId="32">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6"/>
  </w:num>
  <w:num w:numId="4">
    <w:abstractNumId w:val="30"/>
  </w:num>
  <w:num w:numId="5">
    <w:abstractNumId w:val="32"/>
  </w:num>
  <w:num w:numId="6">
    <w:abstractNumId w:val="29"/>
  </w:num>
  <w:num w:numId="7">
    <w:abstractNumId w:val="21"/>
  </w:num>
  <w:num w:numId="8">
    <w:abstractNumId w:val="1"/>
  </w:num>
  <w:num w:numId="9">
    <w:abstractNumId w:val="14"/>
  </w:num>
  <w:num w:numId="10">
    <w:abstractNumId w:val="11"/>
  </w:num>
  <w:num w:numId="11">
    <w:abstractNumId w:val="10"/>
  </w:num>
  <w:num w:numId="12">
    <w:abstractNumId w:val="0"/>
  </w:num>
  <w:num w:numId="13">
    <w:abstractNumId w:val="9"/>
  </w:num>
  <w:num w:numId="14">
    <w:abstractNumId w:val="23"/>
  </w:num>
  <w:num w:numId="15">
    <w:abstractNumId w:val="31"/>
  </w:num>
  <w:num w:numId="16">
    <w:abstractNumId w:val="5"/>
  </w:num>
  <w:num w:numId="17">
    <w:abstractNumId w:val="23"/>
    <w:lvlOverride w:ilvl="0">
      <w:startOverride w:val="3"/>
    </w:lvlOverride>
  </w:num>
  <w:num w:numId="18">
    <w:abstractNumId w:val="0"/>
    <w:lvlOverride w:ilvl="0">
      <w:lvl w:ilvl="0" w:tplc="78B072F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5BE909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167BE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33E52D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BA471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FEA81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EE8C4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66083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86079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3"/>
    <w:lvlOverride w:ilvl="0">
      <w:startOverride w:val="4"/>
    </w:lvlOverride>
  </w:num>
  <w:num w:numId="20">
    <w:abstractNumId w:val="27"/>
  </w:num>
  <w:num w:numId="21">
    <w:abstractNumId w:val="25"/>
  </w:num>
  <w:num w:numId="22">
    <w:abstractNumId w:val="23"/>
    <w:lvlOverride w:ilvl="0">
      <w:startOverride w:val="6"/>
    </w:lvlOverride>
  </w:num>
  <w:num w:numId="23">
    <w:abstractNumId w:val="24"/>
  </w:num>
  <w:num w:numId="24">
    <w:abstractNumId w:val="20"/>
  </w:num>
  <w:num w:numId="25">
    <w:abstractNumId w:val="19"/>
  </w:num>
  <w:num w:numId="26">
    <w:abstractNumId w:val="3"/>
  </w:num>
  <w:num w:numId="27">
    <w:abstractNumId w:val="17"/>
  </w:num>
  <w:num w:numId="28">
    <w:abstractNumId w:val="12"/>
  </w:num>
  <w:num w:numId="29">
    <w:abstractNumId w:val="22"/>
  </w:num>
  <w:num w:numId="30">
    <w:abstractNumId w:val="26"/>
  </w:num>
  <w:num w:numId="31">
    <w:abstractNumId w:val="7"/>
  </w:num>
  <w:num w:numId="32">
    <w:abstractNumId w:val="1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 w:numId="36">
    <w:abstractNumId w:val="4"/>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FC5CF5"/>
    <w:rsid w:val="00002D79"/>
    <w:rsid w:val="00004CD8"/>
    <w:rsid w:val="000101FF"/>
    <w:rsid w:val="000113C7"/>
    <w:rsid w:val="00031C70"/>
    <w:rsid w:val="000357B9"/>
    <w:rsid w:val="00045394"/>
    <w:rsid w:val="000533C9"/>
    <w:rsid w:val="0006291F"/>
    <w:rsid w:val="0007749E"/>
    <w:rsid w:val="00080E3B"/>
    <w:rsid w:val="000839B1"/>
    <w:rsid w:val="00094390"/>
    <w:rsid w:val="00094AF5"/>
    <w:rsid w:val="000B0961"/>
    <w:rsid w:val="000B2A4D"/>
    <w:rsid w:val="000C2F6B"/>
    <w:rsid w:val="000C3FBE"/>
    <w:rsid w:val="000D79AA"/>
    <w:rsid w:val="000F39A5"/>
    <w:rsid w:val="00127C68"/>
    <w:rsid w:val="0013071D"/>
    <w:rsid w:val="001439A2"/>
    <w:rsid w:val="00143DF8"/>
    <w:rsid w:val="00146D35"/>
    <w:rsid w:val="0015193A"/>
    <w:rsid w:val="00154711"/>
    <w:rsid w:val="00157FD9"/>
    <w:rsid w:val="00163109"/>
    <w:rsid w:val="00165AEC"/>
    <w:rsid w:val="00171B5B"/>
    <w:rsid w:val="00173D5F"/>
    <w:rsid w:val="001817D4"/>
    <w:rsid w:val="00186768"/>
    <w:rsid w:val="001A5365"/>
    <w:rsid w:val="001A536F"/>
    <w:rsid w:val="001A58FA"/>
    <w:rsid w:val="001C0047"/>
    <w:rsid w:val="001C36FC"/>
    <w:rsid w:val="001E75BD"/>
    <w:rsid w:val="001F4C65"/>
    <w:rsid w:val="001F73B8"/>
    <w:rsid w:val="00201A9B"/>
    <w:rsid w:val="0021241B"/>
    <w:rsid w:val="00212628"/>
    <w:rsid w:val="0022452A"/>
    <w:rsid w:val="002245F3"/>
    <w:rsid w:val="00225D9B"/>
    <w:rsid w:val="00227E2B"/>
    <w:rsid w:val="00250CB8"/>
    <w:rsid w:val="002519E2"/>
    <w:rsid w:val="002619C4"/>
    <w:rsid w:val="0026513E"/>
    <w:rsid w:val="00283222"/>
    <w:rsid w:val="002868EB"/>
    <w:rsid w:val="00293612"/>
    <w:rsid w:val="00296258"/>
    <w:rsid w:val="002A012A"/>
    <w:rsid w:val="002A01A6"/>
    <w:rsid w:val="002A081C"/>
    <w:rsid w:val="002A564F"/>
    <w:rsid w:val="002B1C99"/>
    <w:rsid w:val="002B6742"/>
    <w:rsid w:val="002C1EAD"/>
    <w:rsid w:val="002D4607"/>
    <w:rsid w:val="002E3D02"/>
    <w:rsid w:val="002F1D63"/>
    <w:rsid w:val="002F64F5"/>
    <w:rsid w:val="002F7042"/>
    <w:rsid w:val="00304953"/>
    <w:rsid w:val="003054B7"/>
    <w:rsid w:val="003106D8"/>
    <w:rsid w:val="0034607D"/>
    <w:rsid w:val="00355182"/>
    <w:rsid w:val="00357260"/>
    <w:rsid w:val="0036367F"/>
    <w:rsid w:val="00377453"/>
    <w:rsid w:val="003A60FD"/>
    <w:rsid w:val="003B6024"/>
    <w:rsid w:val="003C32D1"/>
    <w:rsid w:val="003D3509"/>
    <w:rsid w:val="003D6EC6"/>
    <w:rsid w:val="003D74BC"/>
    <w:rsid w:val="003E6D77"/>
    <w:rsid w:val="003F3231"/>
    <w:rsid w:val="00400627"/>
    <w:rsid w:val="00406143"/>
    <w:rsid w:val="00410E74"/>
    <w:rsid w:val="00411D98"/>
    <w:rsid w:val="00421E1D"/>
    <w:rsid w:val="0042302E"/>
    <w:rsid w:val="00427FC4"/>
    <w:rsid w:val="00430D9B"/>
    <w:rsid w:val="00434C41"/>
    <w:rsid w:val="00452632"/>
    <w:rsid w:val="00456344"/>
    <w:rsid w:val="00462242"/>
    <w:rsid w:val="00463BF8"/>
    <w:rsid w:val="00466102"/>
    <w:rsid w:val="00474B39"/>
    <w:rsid w:val="00474D7F"/>
    <w:rsid w:val="00496846"/>
    <w:rsid w:val="004A461D"/>
    <w:rsid w:val="004B48FC"/>
    <w:rsid w:val="004E2705"/>
    <w:rsid w:val="004E6A90"/>
    <w:rsid w:val="004E7DDB"/>
    <w:rsid w:val="004F2F29"/>
    <w:rsid w:val="004F5537"/>
    <w:rsid w:val="004F5FDC"/>
    <w:rsid w:val="004F7F5C"/>
    <w:rsid w:val="00504DE6"/>
    <w:rsid w:val="00506167"/>
    <w:rsid w:val="005145C1"/>
    <w:rsid w:val="005177A9"/>
    <w:rsid w:val="00524158"/>
    <w:rsid w:val="00524F85"/>
    <w:rsid w:val="005253DE"/>
    <w:rsid w:val="00526C5B"/>
    <w:rsid w:val="00542BE5"/>
    <w:rsid w:val="00545212"/>
    <w:rsid w:val="00545FE9"/>
    <w:rsid w:val="005549A5"/>
    <w:rsid w:val="00556CA8"/>
    <w:rsid w:val="0057028E"/>
    <w:rsid w:val="00571CA0"/>
    <w:rsid w:val="00572009"/>
    <w:rsid w:val="00573C19"/>
    <w:rsid w:val="0058135A"/>
    <w:rsid w:val="00585A17"/>
    <w:rsid w:val="0059157B"/>
    <w:rsid w:val="00595F6A"/>
    <w:rsid w:val="005B00D5"/>
    <w:rsid w:val="005B0D27"/>
    <w:rsid w:val="005B4D63"/>
    <w:rsid w:val="005B5093"/>
    <w:rsid w:val="005C0717"/>
    <w:rsid w:val="005C53FB"/>
    <w:rsid w:val="005D3003"/>
    <w:rsid w:val="005D6DB3"/>
    <w:rsid w:val="005E0403"/>
    <w:rsid w:val="005E0F43"/>
    <w:rsid w:val="005E6156"/>
    <w:rsid w:val="005E6F12"/>
    <w:rsid w:val="005F36EF"/>
    <w:rsid w:val="005F5BE7"/>
    <w:rsid w:val="00602D64"/>
    <w:rsid w:val="006049CA"/>
    <w:rsid w:val="00605CBE"/>
    <w:rsid w:val="006238C4"/>
    <w:rsid w:val="00626BA8"/>
    <w:rsid w:val="00630021"/>
    <w:rsid w:val="00631E64"/>
    <w:rsid w:val="00640F3F"/>
    <w:rsid w:val="0065528A"/>
    <w:rsid w:val="00657B08"/>
    <w:rsid w:val="006655D2"/>
    <w:rsid w:val="00675465"/>
    <w:rsid w:val="00676628"/>
    <w:rsid w:val="006863AB"/>
    <w:rsid w:val="00697DA2"/>
    <w:rsid w:val="006A0B1D"/>
    <w:rsid w:val="006A303D"/>
    <w:rsid w:val="006A5FD3"/>
    <w:rsid w:val="006A77EB"/>
    <w:rsid w:val="006B0C42"/>
    <w:rsid w:val="006B311C"/>
    <w:rsid w:val="006C6393"/>
    <w:rsid w:val="006C73F3"/>
    <w:rsid w:val="006F0F89"/>
    <w:rsid w:val="0070003F"/>
    <w:rsid w:val="007019F0"/>
    <w:rsid w:val="00707925"/>
    <w:rsid w:val="00713580"/>
    <w:rsid w:val="007137EB"/>
    <w:rsid w:val="00725D1D"/>
    <w:rsid w:val="0072778A"/>
    <w:rsid w:val="007422CF"/>
    <w:rsid w:val="00746A78"/>
    <w:rsid w:val="00755607"/>
    <w:rsid w:val="00755F63"/>
    <w:rsid w:val="00756711"/>
    <w:rsid w:val="00757F1B"/>
    <w:rsid w:val="00774114"/>
    <w:rsid w:val="00776A5F"/>
    <w:rsid w:val="007775F3"/>
    <w:rsid w:val="00784257"/>
    <w:rsid w:val="007909E6"/>
    <w:rsid w:val="00790FD7"/>
    <w:rsid w:val="00791323"/>
    <w:rsid w:val="00791BAA"/>
    <w:rsid w:val="00793620"/>
    <w:rsid w:val="007940A4"/>
    <w:rsid w:val="007A08E3"/>
    <w:rsid w:val="007A4720"/>
    <w:rsid w:val="007A4829"/>
    <w:rsid w:val="007B238D"/>
    <w:rsid w:val="007C61C8"/>
    <w:rsid w:val="007D78A5"/>
    <w:rsid w:val="007E0306"/>
    <w:rsid w:val="007E58C5"/>
    <w:rsid w:val="007E6074"/>
    <w:rsid w:val="007F0B7E"/>
    <w:rsid w:val="007F1E38"/>
    <w:rsid w:val="008010C5"/>
    <w:rsid w:val="00801513"/>
    <w:rsid w:val="008066A6"/>
    <w:rsid w:val="00835EF2"/>
    <w:rsid w:val="00836F6C"/>
    <w:rsid w:val="00837003"/>
    <w:rsid w:val="008376B3"/>
    <w:rsid w:val="008447C3"/>
    <w:rsid w:val="00844B92"/>
    <w:rsid w:val="00856A55"/>
    <w:rsid w:val="008607D2"/>
    <w:rsid w:val="008732AF"/>
    <w:rsid w:val="00874B25"/>
    <w:rsid w:val="00886575"/>
    <w:rsid w:val="00890669"/>
    <w:rsid w:val="008A238E"/>
    <w:rsid w:val="008A508E"/>
    <w:rsid w:val="008A5D86"/>
    <w:rsid w:val="008B2A36"/>
    <w:rsid w:val="008C0952"/>
    <w:rsid w:val="008C1BB2"/>
    <w:rsid w:val="008C6BDE"/>
    <w:rsid w:val="008D18CE"/>
    <w:rsid w:val="008D3160"/>
    <w:rsid w:val="008D5814"/>
    <w:rsid w:val="008E4CB8"/>
    <w:rsid w:val="008F4F8F"/>
    <w:rsid w:val="00903640"/>
    <w:rsid w:val="00933BB1"/>
    <w:rsid w:val="009373B1"/>
    <w:rsid w:val="00944C80"/>
    <w:rsid w:val="00955DC5"/>
    <w:rsid w:val="00957F16"/>
    <w:rsid w:val="00963636"/>
    <w:rsid w:val="00970D40"/>
    <w:rsid w:val="00974756"/>
    <w:rsid w:val="00980E95"/>
    <w:rsid w:val="009821BA"/>
    <w:rsid w:val="00982BBA"/>
    <w:rsid w:val="00985CD6"/>
    <w:rsid w:val="0098684E"/>
    <w:rsid w:val="00991FAD"/>
    <w:rsid w:val="009A27A4"/>
    <w:rsid w:val="009C79A5"/>
    <w:rsid w:val="009E2639"/>
    <w:rsid w:val="009F1A15"/>
    <w:rsid w:val="009F58FE"/>
    <w:rsid w:val="009F7F01"/>
    <w:rsid w:val="00A001CA"/>
    <w:rsid w:val="00A009A4"/>
    <w:rsid w:val="00A01081"/>
    <w:rsid w:val="00A01D48"/>
    <w:rsid w:val="00A0364D"/>
    <w:rsid w:val="00A113DA"/>
    <w:rsid w:val="00A154D3"/>
    <w:rsid w:val="00A16B82"/>
    <w:rsid w:val="00A20047"/>
    <w:rsid w:val="00A26184"/>
    <w:rsid w:val="00A27FDA"/>
    <w:rsid w:val="00A344A0"/>
    <w:rsid w:val="00A42F91"/>
    <w:rsid w:val="00A47A3E"/>
    <w:rsid w:val="00A561D1"/>
    <w:rsid w:val="00A777CA"/>
    <w:rsid w:val="00A963FA"/>
    <w:rsid w:val="00AA024E"/>
    <w:rsid w:val="00AA3762"/>
    <w:rsid w:val="00AA7B68"/>
    <w:rsid w:val="00AB314A"/>
    <w:rsid w:val="00AB7AEC"/>
    <w:rsid w:val="00AC1A08"/>
    <w:rsid w:val="00AD0C46"/>
    <w:rsid w:val="00AF02D3"/>
    <w:rsid w:val="00B051F7"/>
    <w:rsid w:val="00B1580B"/>
    <w:rsid w:val="00B15D35"/>
    <w:rsid w:val="00B20152"/>
    <w:rsid w:val="00B272E9"/>
    <w:rsid w:val="00B33704"/>
    <w:rsid w:val="00B368F5"/>
    <w:rsid w:val="00B500E6"/>
    <w:rsid w:val="00B74380"/>
    <w:rsid w:val="00B757B4"/>
    <w:rsid w:val="00B84B98"/>
    <w:rsid w:val="00B855A1"/>
    <w:rsid w:val="00B906CB"/>
    <w:rsid w:val="00B91BB1"/>
    <w:rsid w:val="00B92FCD"/>
    <w:rsid w:val="00BA5368"/>
    <w:rsid w:val="00BB1074"/>
    <w:rsid w:val="00BB5DA1"/>
    <w:rsid w:val="00BC34EF"/>
    <w:rsid w:val="00BC7BC7"/>
    <w:rsid w:val="00BC7DED"/>
    <w:rsid w:val="00BD08B8"/>
    <w:rsid w:val="00BD2290"/>
    <w:rsid w:val="00BD2B92"/>
    <w:rsid w:val="00BE3574"/>
    <w:rsid w:val="00BE3C6C"/>
    <w:rsid w:val="00BF2002"/>
    <w:rsid w:val="00C04359"/>
    <w:rsid w:val="00C17BCB"/>
    <w:rsid w:val="00C22358"/>
    <w:rsid w:val="00C26A44"/>
    <w:rsid w:val="00C277A5"/>
    <w:rsid w:val="00C351E3"/>
    <w:rsid w:val="00C47392"/>
    <w:rsid w:val="00C51093"/>
    <w:rsid w:val="00C53AC3"/>
    <w:rsid w:val="00C54D4F"/>
    <w:rsid w:val="00C55FC9"/>
    <w:rsid w:val="00C569EC"/>
    <w:rsid w:val="00C63AB9"/>
    <w:rsid w:val="00C66549"/>
    <w:rsid w:val="00C74766"/>
    <w:rsid w:val="00C81924"/>
    <w:rsid w:val="00C878EA"/>
    <w:rsid w:val="00C9168C"/>
    <w:rsid w:val="00C91808"/>
    <w:rsid w:val="00C966C9"/>
    <w:rsid w:val="00C96B1F"/>
    <w:rsid w:val="00CA5B86"/>
    <w:rsid w:val="00CA6AB1"/>
    <w:rsid w:val="00CB453C"/>
    <w:rsid w:val="00CC3E74"/>
    <w:rsid w:val="00CC4F25"/>
    <w:rsid w:val="00CD47A4"/>
    <w:rsid w:val="00CE0293"/>
    <w:rsid w:val="00CE4684"/>
    <w:rsid w:val="00D16639"/>
    <w:rsid w:val="00D242B6"/>
    <w:rsid w:val="00D361D1"/>
    <w:rsid w:val="00D466F9"/>
    <w:rsid w:val="00D53F56"/>
    <w:rsid w:val="00D54A31"/>
    <w:rsid w:val="00D5506B"/>
    <w:rsid w:val="00D60471"/>
    <w:rsid w:val="00D60B75"/>
    <w:rsid w:val="00D65439"/>
    <w:rsid w:val="00D65ECE"/>
    <w:rsid w:val="00D67719"/>
    <w:rsid w:val="00D70DEA"/>
    <w:rsid w:val="00D75D1A"/>
    <w:rsid w:val="00D855A1"/>
    <w:rsid w:val="00D85764"/>
    <w:rsid w:val="00D86977"/>
    <w:rsid w:val="00D86FB0"/>
    <w:rsid w:val="00DA1470"/>
    <w:rsid w:val="00DA47C6"/>
    <w:rsid w:val="00DA5CBB"/>
    <w:rsid w:val="00DB03E7"/>
    <w:rsid w:val="00DB4A4E"/>
    <w:rsid w:val="00DC3734"/>
    <w:rsid w:val="00DD06D3"/>
    <w:rsid w:val="00DD06E9"/>
    <w:rsid w:val="00DD0897"/>
    <w:rsid w:val="00DD64F9"/>
    <w:rsid w:val="00DE087D"/>
    <w:rsid w:val="00DE4F60"/>
    <w:rsid w:val="00DF1F58"/>
    <w:rsid w:val="00DF6D3F"/>
    <w:rsid w:val="00E01416"/>
    <w:rsid w:val="00E03500"/>
    <w:rsid w:val="00E0359A"/>
    <w:rsid w:val="00E06B12"/>
    <w:rsid w:val="00E2111C"/>
    <w:rsid w:val="00E2533C"/>
    <w:rsid w:val="00E378F9"/>
    <w:rsid w:val="00E41794"/>
    <w:rsid w:val="00E52709"/>
    <w:rsid w:val="00E52CDC"/>
    <w:rsid w:val="00E55E00"/>
    <w:rsid w:val="00E572F4"/>
    <w:rsid w:val="00E673AF"/>
    <w:rsid w:val="00E72D3E"/>
    <w:rsid w:val="00E80EC0"/>
    <w:rsid w:val="00E86563"/>
    <w:rsid w:val="00E9185C"/>
    <w:rsid w:val="00E93453"/>
    <w:rsid w:val="00EA20C3"/>
    <w:rsid w:val="00EB3583"/>
    <w:rsid w:val="00EC6ADA"/>
    <w:rsid w:val="00ED271E"/>
    <w:rsid w:val="00ED5049"/>
    <w:rsid w:val="00EE5FC5"/>
    <w:rsid w:val="00EF2636"/>
    <w:rsid w:val="00EF6757"/>
    <w:rsid w:val="00F0179C"/>
    <w:rsid w:val="00F017AB"/>
    <w:rsid w:val="00F04ACA"/>
    <w:rsid w:val="00F17A6D"/>
    <w:rsid w:val="00F3483D"/>
    <w:rsid w:val="00F401B5"/>
    <w:rsid w:val="00F40A8D"/>
    <w:rsid w:val="00F43D57"/>
    <w:rsid w:val="00F51823"/>
    <w:rsid w:val="00FA2F0D"/>
    <w:rsid w:val="00FA4F01"/>
    <w:rsid w:val="00FA6352"/>
    <w:rsid w:val="00FB2977"/>
    <w:rsid w:val="00FB3ACC"/>
    <w:rsid w:val="00FC06EF"/>
    <w:rsid w:val="00FC5CF5"/>
    <w:rsid w:val="00FD6B95"/>
    <w:rsid w:val="00FE0100"/>
    <w:rsid w:val="00FE2320"/>
    <w:rsid w:val="00FF226E"/>
    <w:rsid w:val="00FF741D"/>
    <w:rsid w:val="00FF7E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0">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numbering" w:customStyle="1" w:styleId="ImportedStyle1">
    <w:name w:val="Imported Style 1"/>
    <w:rsid w:val="00427FC4"/>
    <w:pPr>
      <w:numPr>
        <w:numId w:val="11"/>
      </w:numPr>
    </w:pPr>
  </w:style>
  <w:style w:type="numbering" w:customStyle="1" w:styleId="ImportedStyle2">
    <w:name w:val="Imported Style 2"/>
    <w:rsid w:val="00427FC4"/>
    <w:pPr>
      <w:numPr>
        <w:numId w:val="13"/>
      </w:numPr>
    </w:pPr>
  </w:style>
  <w:style w:type="numbering" w:customStyle="1" w:styleId="ImportedStyle3">
    <w:name w:val="Imported Style 3"/>
    <w:rsid w:val="00427FC4"/>
    <w:pPr>
      <w:numPr>
        <w:numId w:val="15"/>
      </w:numPr>
    </w:pPr>
  </w:style>
  <w:style w:type="numbering" w:customStyle="1" w:styleId="ImportedStyle4">
    <w:name w:val="Imported Style 4"/>
    <w:rsid w:val="00427FC4"/>
    <w:pPr>
      <w:numPr>
        <w:numId w:val="20"/>
      </w:numPr>
    </w:pPr>
  </w:style>
  <w:style w:type="numbering" w:customStyle="1" w:styleId="ImportedStyle5">
    <w:name w:val="Imported Style 5"/>
    <w:rsid w:val="00427FC4"/>
    <w:pPr>
      <w:numPr>
        <w:numId w:val="23"/>
      </w:numPr>
    </w:pPr>
  </w:style>
  <w:style w:type="table" w:styleId="a6">
    <w:name w:val="Table Grid"/>
    <w:basedOn w:val="a1"/>
    <w:uiPriority w:val="39"/>
    <w:rsid w:val="00A01D48"/>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5145C1"/>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7"/>
    <w:uiPriority w:val="99"/>
    <w:semiHidden/>
    <w:rsid w:val="005145C1"/>
    <w:rPr>
      <w:rFonts w:ascii="Times New Roman" w:hAnsi="Times New Roman" w:cs="Times New Roman"/>
      <w:sz w:val="18"/>
      <w:szCs w:val="18"/>
    </w:rPr>
  </w:style>
  <w:style w:type="character" w:styleId="a8">
    <w:name w:val="annotation reference"/>
    <w:basedOn w:val="a0"/>
    <w:uiPriority w:val="99"/>
    <w:semiHidden/>
    <w:unhideWhenUsed/>
    <w:rsid w:val="009C79A5"/>
    <w:rPr>
      <w:sz w:val="16"/>
      <w:szCs w:val="16"/>
    </w:rPr>
  </w:style>
  <w:style w:type="paragraph" w:styleId="a9">
    <w:name w:val="annotation text"/>
    <w:basedOn w:val="a"/>
    <w:link w:val="Char3"/>
    <w:uiPriority w:val="99"/>
    <w:semiHidden/>
    <w:unhideWhenUsed/>
    <w:rsid w:val="009C79A5"/>
    <w:pPr>
      <w:spacing w:line="240" w:lineRule="auto"/>
    </w:pPr>
    <w:rPr>
      <w:sz w:val="20"/>
      <w:szCs w:val="20"/>
    </w:rPr>
  </w:style>
  <w:style w:type="character" w:customStyle="1" w:styleId="Char3">
    <w:name w:val="Κείμενο σχολίου Char"/>
    <w:basedOn w:val="a0"/>
    <w:link w:val="a9"/>
    <w:uiPriority w:val="99"/>
    <w:semiHidden/>
    <w:rsid w:val="009C79A5"/>
    <w:rPr>
      <w:sz w:val="20"/>
      <w:szCs w:val="20"/>
    </w:rPr>
  </w:style>
  <w:style w:type="paragraph" w:styleId="aa">
    <w:name w:val="annotation subject"/>
    <w:basedOn w:val="a9"/>
    <w:next w:val="a9"/>
    <w:link w:val="Char4"/>
    <w:uiPriority w:val="99"/>
    <w:semiHidden/>
    <w:unhideWhenUsed/>
    <w:rsid w:val="009C79A5"/>
    <w:rPr>
      <w:b/>
      <w:bCs/>
    </w:rPr>
  </w:style>
  <w:style w:type="character" w:customStyle="1" w:styleId="Char4">
    <w:name w:val="Θέμα σχολίου Char"/>
    <w:basedOn w:val="Char3"/>
    <w:link w:val="aa"/>
    <w:uiPriority w:val="99"/>
    <w:semiHidden/>
    <w:rsid w:val="009C79A5"/>
    <w:rPr>
      <w:b/>
      <w:bCs/>
      <w:sz w:val="20"/>
      <w:szCs w:val="20"/>
    </w:rPr>
  </w:style>
</w:styles>
</file>

<file path=word/webSettings.xml><?xml version="1.0" encoding="utf-8"?>
<w:webSettings xmlns:r="http://schemas.openxmlformats.org/officeDocument/2006/relationships" xmlns:w="http://schemas.openxmlformats.org/wordprocessingml/2006/main">
  <w:divs>
    <w:div w:id="166685935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3901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k.mamounaki</cp:lastModifiedBy>
  <cp:revision>2</cp:revision>
  <cp:lastPrinted>2023-07-26T13:29:00Z</cp:lastPrinted>
  <dcterms:created xsi:type="dcterms:W3CDTF">2023-10-13T07:30:00Z</dcterms:created>
  <dcterms:modified xsi:type="dcterms:W3CDTF">2023-10-13T07:30:00Z</dcterms:modified>
</cp:coreProperties>
</file>