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1D37" w14:textId="5680296B" w:rsidR="00924365" w:rsidRPr="004F1999" w:rsidRDefault="004F1999">
      <w:pPr>
        <w:spacing w:before="95"/>
        <w:ind w:right="906"/>
        <w:jc w:val="right"/>
        <w:rPr>
          <w:rFonts w:ascii="Open Sans"/>
          <w:sz w:val="18"/>
          <w:szCs w:val="18"/>
          <w:lang w:val="el-GR"/>
        </w:rPr>
      </w:pPr>
      <w:proofErr w:type="spellStart"/>
      <w:r w:rsidRPr="004F1999">
        <w:rPr>
          <w:rFonts w:ascii="Open Sans"/>
          <w:w w:val="105"/>
          <w:sz w:val="18"/>
          <w:szCs w:val="18"/>
          <w:lang w:val="el-GR"/>
        </w:rPr>
        <w:t>Αριθμ</w:t>
      </w:r>
      <w:proofErr w:type="spellEnd"/>
      <w:r w:rsidRPr="004F1999">
        <w:rPr>
          <w:rFonts w:ascii="Open Sans"/>
          <w:w w:val="105"/>
          <w:sz w:val="18"/>
          <w:szCs w:val="18"/>
          <w:lang w:val="el-GR"/>
        </w:rPr>
        <w:t xml:space="preserve">, </w:t>
      </w:r>
      <w:r w:rsidR="00413177" w:rsidRPr="004F1999">
        <w:rPr>
          <w:rFonts w:ascii="Open Sans"/>
          <w:w w:val="105"/>
          <w:sz w:val="18"/>
          <w:szCs w:val="18"/>
          <w:lang w:val="el-GR"/>
        </w:rPr>
        <w:t>Αναφορά</w:t>
      </w:r>
      <w:r w:rsidRPr="004F1999">
        <w:rPr>
          <w:rFonts w:ascii="Open Sans"/>
          <w:w w:val="105"/>
          <w:sz w:val="18"/>
          <w:szCs w:val="18"/>
          <w:lang w:val="el-GR"/>
        </w:rPr>
        <w:t>ς</w:t>
      </w:r>
      <w:r w:rsidRPr="004F1999">
        <w:rPr>
          <w:rFonts w:ascii="Open Sans"/>
          <w:w w:val="105"/>
          <w:sz w:val="18"/>
          <w:szCs w:val="18"/>
          <w:lang w:val="el-GR"/>
        </w:rPr>
        <w:t xml:space="preserve"> </w:t>
      </w:r>
      <w:r w:rsidRPr="004F1999">
        <w:rPr>
          <w:rFonts w:ascii="Open Sans"/>
          <w:w w:val="105"/>
          <w:sz w:val="18"/>
          <w:szCs w:val="18"/>
          <w:lang w:val="en-US"/>
        </w:rPr>
        <w:t xml:space="preserve">Ares </w:t>
      </w:r>
      <w:r w:rsidR="00413177" w:rsidRPr="004F1999">
        <w:rPr>
          <w:rFonts w:ascii="Open Sans"/>
          <w:w w:val="105"/>
          <w:sz w:val="18"/>
          <w:szCs w:val="18"/>
          <w:lang w:val="el-GR"/>
        </w:rPr>
        <w:t>(2024)8722464 - 06/12/2024</w:t>
      </w:r>
    </w:p>
    <w:p w14:paraId="398BA3BE" w14:textId="77777777" w:rsidR="00924365" w:rsidRPr="004F1999" w:rsidRDefault="00924365">
      <w:pPr>
        <w:pStyle w:val="a3"/>
        <w:spacing w:before="9"/>
        <w:rPr>
          <w:rFonts w:ascii="Open Sans"/>
          <w:sz w:val="18"/>
          <w:szCs w:val="18"/>
          <w:lang w:val="el-GR"/>
        </w:rPr>
      </w:pPr>
    </w:p>
    <w:p w14:paraId="3D1584EB" w14:textId="77777777" w:rsidR="00924365" w:rsidRPr="004F1999" w:rsidRDefault="00413177" w:rsidP="004F1999">
      <w:pPr>
        <w:pStyle w:val="a3"/>
        <w:spacing w:before="90"/>
        <w:ind w:left="851"/>
        <w:rPr>
          <w:sz w:val="26"/>
          <w:szCs w:val="26"/>
          <w:lang w:val="el-GR"/>
        </w:rPr>
      </w:pPr>
      <w:r w:rsidRPr="004F1999">
        <w:rPr>
          <w:sz w:val="26"/>
          <w:szCs w:val="26"/>
          <w:lang w:val="el-GR"/>
        </w:rPr>
        <w:t>ΕΥΡΩΠΑΪΚΉ ΕΠΙΤΡΟΠΉ</w:t>
      </w:r>
    </w:p>
    <w:p w14:paraId="7D98FD7D" w14:textId="77777777" w:rsidR="00924365" w:rsidRPr="004F1999" w:rsidRDefault="00413177" w:rsidP="004F1999">
      <w:pPr>
        <w:spacing w:before="3"/>
        <w:ind w:left="851" w:right="5205"/>
        <w:rPr>
          <w:sz w:val="26"/>
          <w:szCs w:val="26"/>
          <w:lang w:val="el-GR"/>
        </w:rPr>
      </w:pPr>
      <w:r w:rsidRPr="004F1999">
        <w:rPr>
          <w:sz w:val="26"/>
          <w:szCs w:val="26"/>
          <w:lang w:val="el-GR"/>
        </w:rPr>
        <w:t>ΓΕΝΙΚΗ ΔΙΕΥΘΥΝΣΗ ΦΟΡΟΛΟΓΙΑΣ ΚΑΙ ΤΕΛΩΝΕΙΑΚΗΣ ΕΝΩΣΗΣ</w:t>
      </w:r>
    </w:p>
    <w:p w14:paraId="7141A79B" w14:textId="77777777" w:rsidR="00924365" w:rsidRPr="004F1999" w:rsidRDefault="00413177" w:rsidP="004F1999">
      <w:pPr>
        <w:spacing w:line="183" w:lineRule="exact"/>
        <w:ind w:left="851"/>
        <w:rPr>
          <w:sz w:val="26"/>
          <w:szCs w:val="26"/>
          <w:lang w:val="el-GR"/>
        </w:rPr>
      </w:pPr>
      <w:r w:rsidRPr="004F1999">
        <w:rPr>
          <w:sz w:val="26"/>
          <w:szCs w:val="26"/>
          <w:lang w:val="el-GR"/>
        </w:rPr>
        <w:t>Τελωνείο</w:t>
      </w:r>
    </w:p>
    <w:p w14:paraId="7EC7E79B" w14:textId="77777777" w:rsidR="00924365" w:rsidRPr="004F1999" w:rsidRDefault="00413177" w:rsidP="004F1999">
      <w:pPr>
        <w:spacing w:before="1"/>
        <w:ind w:left="851"/>
        <w:rPr>
          <w:b/>
          <w:sz w:val="26"/>
          <w:szCs w:val="26"/>
          <w:lang w:val="el-GR"/>
        </w:rPr>
      </w:pPr>
      <w:r w:rsidRPr="004F1999">
        <w:rPr>
          <w:b/>
          <w:sz w:val="26"/>
          <w:szCs w:val="26"/>
          <w:lang w:val="el-GR"/>
        </w:rPr>
        <w:t>Διαχείριση κινδύνων και ασφάλεια</w:t>
      </w:r>
    </w:p>
    <w:p w14:paraId="560D20B7" w14:textId="77777777" w:rsidR="00924365" w:rsidRPr="00F26CA5" w:rsidRDefault="00924365">
      <w:pPr>
        <w:pStyle w:val="a3"/>
        <w:rPr>
          <w:b/>
          <w:sz w:val="18"/>
          <w:lang w:val="el-GR"/>
        </w:rPr>
      </w:pPr>
    </w:p>
    <w:p w14:paraId="50ACEC9D" w14:textId="77777777" w:rsidR="00924365" w:rsidRPr="00F26CA5" w:rsidRDefault="00413177" w:rsidP="001F24F0">
      <w:pPr>
        <w:pStyle w:val="a3"/>
        <w:spacing w:before="132"/>
        <w:ind w:left="5529"/>
        <w:rPr>
          <w:lang w:val="el-GR"/>
        </w:rPr>
      </w:pPr>
      <w:r w:rsidRPr="00F26CA5">
        <w:rPr>
          <w:lang w:val="el-GR"/>
        </w:rPr>
        <w:t>Βρυξέλλες</w:t>
      </w:r>
    </w:p>
    <w:p w14:paraId="14FE1E9A" w14:textId="77777777" w:rsidR="00924365" w:rsidRPr="00F26CA5" w:rsidRDefault="00413177" w:rsidP="001F24F0">
      <w:pPr>
        <w:spacing w:before="2"/>
        <w:ind w:left="5529"/>
        <w:rPr>
          <w:sz w:val="20"/>
          <w:lang w:val="el-GR"/>
        </w:rPr>
      </w:pPr>
      <w:r w:rsidRPr="00F26CA5">
        <w:rPr>
          <w:sz w:val="20"/>
          <w:lang w:val="el-GR"/>
        </w:rPr>
        <w:t>TAXUD. A.3.003/TA(2024)10084592</w:t>
      </w:r>
    </w:p>
    <w:p w14:paraId="73E8AC12" w14:textId="77777777" w:rsidR="00924365" w:rsidRPr="00F26CA5" w:rsidRDefault="00924365">
      <w:pPr>
        <w:pStyle w:val="a3"/>
        <w:spacing w:before="2"/>
        <w:rPr>
          <w:sz w:val="31"/>
          <w:lang w:val="el-GR"/>
        </w:rPr>
      </w:pPr>
    </w:p>
    <w:p w14:paraId="1C7B7735" w14:textId="77777777" w:rsidR="00E72540" w:rsidRDefault="00413177" w:rsidP="00E72540">
      <w:pPr>
        <w:pStyle w:val="a4"/>
        <w:rPr>
          <w:lang w:val="el-GR"/>
        </w:rPr>
      </w:pPr>
      <w:r w:rsidRPr="00F26CA5">
        <w:rPr>
          <w:lang w:val="el-GR"/>
        </w:rPr>
        <w:t xml:space="preserve">Θέμα: Πληροφορίες σχετικά με </w:t>
      </w:r>
      <w:r w:rsidR="00EB71E5">
        <w:rPr>
          <w:lang w:val="el-GR"/>
        </w:rPr>
        <w:t xml:space="preserve">τα </w:t>
      </w:r>
      <w:r w:rsidRPr="00F26CA5">
        <w:rPr>
          <w:lang w:val="el-GR"/>
        </w:rPr>
        <w:t>αεροπορικ</w:t>
      </w:r>
      <w:r w:rsidR="00EB71E5">
        <w:rPr>
          <w:lang w:val="el-GR"/>
        </w:rPr>
        <w:t>ά</w:t>
      </w:r>
      <w:r w:rsidRPr="00F26CA5">
        <w:rPr>
          <w:lang w:val="el-GR"/>
        </w:rPr>
        <w:t xml:space="preserve"> φορτί</w:t>
      </w:r>
      <w:r w:rsidR="00EB71E5">
        <w:rPr>
          <w:lang w:val="el-GR"/>
        </w:rPr>
        <w:t>α</w:t>
      </w:r>
      <w:r w:rsidRPr="00F26CA5">
        <w:rPr>
          <w:lang w:val="el-GR"/>
        </w:rPr>
        <w:t xml:space="preserve"> - Υποβολή ακριβών </w:t>
      </w:r>
    </w:p>
    <w:p w14:paraId="401E1C3C" w14:textId="0EA64A42" w:rsidR="00924365" w:rsidRPr="00F26CA5" w:rsidRDefault="00413177" w:rsidP="00E72540">
      <w:pPr>
        <w:pStyle w:val="a4"/>
        <w:rPr>
          <w:lang w:val="el-GR"/>
        </w:rPr>
      </w:pPr>
      <w:r w:rsidRPr="00F26CA5">
        <w:rPr>
          <w:lang w:val="el-GR"/>
        </w:rPr>
        <w:t>και πλήρων δεδομένων ENS</w:t>
      </w:r>
    </w:p>
    <w:p w14:paraId="5E2E00A3" w14:textId="77777777" w:rsidR="00924365" w:rsidRPr="00F26CA5" w:rsidRDefault="00924365">
      <w:pPr>
        <w:pStyle w:val="a3"/>
        <w:spacing w:before="10"/>
        <w:rPr>
          <w:b/>
          <w:sz w:val="20"/>
          <w:lang w:val="el-GR"/>
        </w:rPr>
      </w:pPr>
    </w:p>
    <w:p w14:paraId="25DB5B10" w14:textId="6F707242" w:rsidR="00924365" w:rsidRPr="00F26CA5" w:rsidRDefault="00413177">
      <w:pPr>
        <w:pStyle w:val="a3"/>
        <w:ind w:left="886" w:right="1701"/>
        <w:jc w:val="both"/>
        <w:rPr>
          <w:lang w:val="el-GR"/>
        </w:rPr>
      </w:pPr>
      <w:r w:rsidRPr="00F26CA5">
        <w:rPr>
          <w:lang w:val="el-GR"/>
        </w:rPr>
        <w:t xml:space="preserve">Η Ευρωπαϊκή Επιτροπή θα ήθελε να υπενθυμίσει στους οικονομικούς φορείς να τηρούν αυστηρά τις οδηγίες υποβολής του ICS2 για να διασφαλίσουν τη συμμόρφωση με τις νομικές απαιτήσεις και να αποφύγουν πιθανές καθυστερήσεις και κυρώσεις. Για να επιτευχθεί αυτό, είναι σημαντικό </w:t>
      </w:r>
      <w:r w:rsidR="00F26CA5">
        <w:rPr>
          <w:lang w:val="el-GR"/>
        </w:rPr>
        <w:t xml:space="preserve">οι φορείς που υποβάλουν σύνολα δεδομένων </w:t>
      </w:r>
      <w:r w:rsidRPr="00F26CA5">
        <w:rPr>
          <w:lang w:val="el-GR"/>
        </w:rPr>
        <w:t xml:space="preserve">ENS να παρέχουν ακριβή και πλήρη δεδομένα για κάθε αποστολή τόσο σε κύριο όσο και σε (χαμηλότερο) επίπεδο </w:t>
      </w:r>
      <w:r w:rsidR="00F26CA5">
        <w:rPr>
          <w:lang w:val="el-GR"/>
        </w:rPr>
        <w:t xml:space="preserve">Διαμεταφοράς </w:t>
      </w:r>
      <w:r w:rsidRPr="00F26CA5">
        <w:rPr>
          <w:lang w:val="el-GR"/>
        </w:rPr>
        <w:t>:</w:t>
      </w:r>
    </w:p>
    <w:p w14:paraId="6B41333A" w14:textId="77777777" w:rsidR="00924365" w:rsidRPr="00F26CA5" w:rsidRDefault="00924365">
      <w:pPr>
        <w:pStyle w:val="a3"/>
        <w:spacing w:before="1"/>
        <w:rPr>
          <w:lang w:val="el-GR"/>
        </w:rPr>
      </w:pPr>
    </w:p>
    <w:p w14:paraId="3F571DAC" w14:textId="553163F6" w:rsidR="00924365" w:rsidRPr="00F26CA5" w:rsidRDefault="00413177">
      <w:pPr>
        <w:pStyle w:val="a5"/>
        <w:numPr>
          <w:ilvl w:val="0"/>
          <w:numId w:val="1"/>
        </w:numPr>
        <w:tabs>
          <w:tab w:val="left" w:pos="1600"/>
        </w:tabs>
        <w:spacing w:before="0"/>
        <w:ind w:right="1697"/>
        <w:rPr>
          <w:rFonts w:ascii="Symbol" w:hAnsi="Symbol"/>
          <w:sz w:val="20"/>
          <w:lang w:val="el-GR"/>
        </w:rPr>
      </w:pPr>
      <w:r w:rsidRPr="00F26CA5">
        <w:rPr>
          <w:sz w:val="24"/>
          <w:lang w:val="el-GR"/>
        </w:rPr>
        <w:t xml:space="preserve">Τα είδη εμπορευμάτων που κατατάσσονται σε διαφορετικούς κωδικούς ΕΣ </w:t>
      </w:r>
      <w:r w:rsidR="00E72540">
        <w:rPr>
          <w:sz w:val="24"/>
          <w:lang w:val="el-GR"/>
        </w:rPr>
        <w:t>(</w:t>
      </w:r>
      <w:r w:rsidR="00E72540">
        <w:rPr>
          <w:sz w:val="24"/>
          <w:lang w:val="en-US"/>
        </w:rPr>
        <w:t>HS</w:t>
      </w:r>
      <w:r w:rsidR="00E72540" w:rsidRPr="00E72540">
        <w:rPr>
          <w:sz w:val="24"/>
          <w:lang w:val="el-GR"/>
        </w:rPr>
        <w:t xml:space="preserve"> </w:t>
      </w:r>
      <w:r w:rsidR="00E72540">
        <w:rPr>
          <w:sz w:val="24"/>
          <w:lang w:val="en-US"/>
        </w:rPr>
        <w:t>code</w:t>
      </w:r>
      <w:r w:rsidR="00E72540" w:rsidRPr="00E72540">
        <w:rPr>
          <w:sz w:val="24"/>
          <w:lang w:val="el-GR"/>
        </w:rPr>
        <w:t xml:space="preserve">) </w:t>
      </w:r>
      <w:r w:rsidRPr="00F26CA5">
        <w:rPr>
          <w:sz w:val="24"/>
          <w:lang w:val="el-GR"/>
        </w:rPr>
        <w:t>πρέπει να δηλώνονται χωριστά στη δήλωση αποστολής</w:t>
      </w:r>
      <w:r w:rsidR="00F26CA5">
        <w:rPr>
          <w:sz w:val="24"/>
          <w:lang w:val="el-GR"/>
        </w:rPr>
        <w:t xml:space="preserve"> επιπέδου </w:t>
      </w:r>
      <w:proofErr w:type="spellStart"/>
      <w:r w:rsidR="00F26CA5">
        <w:rPr>
          <w:sz w:val="24"/>
          <w:lang w:val="el-GR"/>
        </w:rPr>
        <w:t>διαμεταφοράς</w:t>
      </w:r>
      <w:proofErr w:type="spellEnd"/>
      <w:r w:rsidRPr="00F26CA5">
        <w:rPr>
          <w:sz w:val="24"/>
          <w:lang w:val="el-GR"/>
        </w:rPr>
        <w:t>.</w:t>
      </w:r>
    </w:p>
    <w:p w14:paraId="0C1A3504" w14:textId="6DB8BE34" w:rsidR="00924365" w:rsidRPr="00F26CA5" w:rsidRDefault="00413177">
      <w:pPr>
        <w:pStyle w:val="a5"/>
        <w:numPr>
          <w:ilvl w:val="0"/>
          <w:numId w:val="1"/>
        </w:numPr>
        <w:tabs>
          <w:tab w:val="left" w:pos="1600"/>
        </w:tabs>
        <w:spacing w:before="120"/>
        <w:ind w:right="1698"/>
        <w:rPr>
          <w:rFonts w:ascii="Symbol" w:hAnsi="Symbol"/>
          <w:sz w:val="24"/>
          <w:lang w:val="el-GR"/>
        </w:rPr>
      </w:pPr>
      <w:r w:rsidRPr="00F26CA5">
        <w:rPr>
          <w:sz w:val="24"/>
          <w:lang w:val="el-GR"/>
        </w:rPr>
        <w:t xml:space="preserve">Η χρήση </w:t>
      </w:r>
      <w:hyperlink r:id="rId5">
        <w:r w:rsidRPr="00F26CA5">
          <w:rPr>
            <w:color w:val="0562C1"/>
            <w:sz w:val="24"/>
            <w:u w:val="single" w:color="0562C1"/>
            <w:lang w:val="el-GR"/>
          </w:rPr>
          <w:t xml:space="preserve">μη αποδεκτών περιγραφών </w:t>
        </w:r>
        <w:r w:rsidR="00F26CA5">
          <w:rPr>
            <w:color w:val="0562C1"/>
            <w:sz w:val="24"/>
            <w:u w:val="single" w:color="0562C1"/>
            <w:lang w:val="el-GR"/>
          </w:rPr>
          <w:t>εμπορευμάτων</w:t>
        </w:r>
      </w:hyperlink>
      <w:r w:rsidR="00F26CA5">
        <w:rPr>
          <w:color w:val="0562C1"/>
          <w:sz w:val="24"/>
          <w:u w:val="single" w:color="0562C1"/>
          <w:lang w:val="el-GR"/>
        </w:rPr>
        <w:t xml:space="preserve"> </w:t>
      </w:r>
      <w:r w:rsidRPr="00F26CA5">
        <w:rPr>
          <w:sz w:val="24"/>
          <w:lang w:val="el-GR"/>
        </w:rPr>
        <w:t xml:space="preserve">, συμπεριλαμβανομένων των λέξεων "άγνωστο" ή "μη διαθέσιμο", ή συγκεντρωτικών πληροφοριών σε επίπεδο </w:t>
      </w:r>
      <w:proofErr w:type="spellStart"/>
      <w:r w:rsidR="00F26CA5">
        <w:rPr>
          <w:sz w:val="24"/>
          <w:lang w:val="el-GR"/>
        </w:rPr>
        <w:t>διαμεταφοράς</w:t>
      </w:r>
      <w:proofErr w:type="spellEnd"/>
      <w:r w:rsidRPr="00F26CA5">
        <w:rPr>
          <w:sz w:val="24"/>
          <w:lang w:val="el-GR"/>
        </w:rPr>
        <w:t>, δεν είναι αποδεκτή.</w:t>
      </w:r>
    </w:p>
    <w:p w14:paraId="647092A6" w14:textId="54F87D7B" w:rsidR="00924365" w:rsidRPr="00F26CA5" w:rsidRDefault="00413177">
      <w:pPr>
        <w:pStyle w:val="a5"/>
        <w:numPr>
          <w:ilvl w:val="0"/>
          <w:numId w:val="1"/>
        </w:numPr>
        <w:tabs>
          <w:tab w:val="left" w:pos="1607"/>
        </w:tabs>
        <w:spacing w:before="118"/>
        <w:ind w:left="1606" w:right="1700" w:hanging="360"/>
        <w:rPr>
          <w:rFonts w:ascii="Symbol" w:hAnsi="Symbol"/>
          <w:sz w:val="24"/>
          <w:lang w:val="el-GR"/>
        </w:rPr>
      </w:pPr>
      <w:r w:rsidRPr="00F26CA5">
        <w:rPr>
          <w:sz w:val="24"/>
          <w:lang w:val="el-GR"/>
        </w:rPr>
        <w:t xml:space="preserve">Ο αποστολέας, όπως ορίζεται στην αεροπορική φορτωτική του χαμηλότερου </w:t>
      </w:r>
      <w:r w:rsidR="00EB71E5">
        <w:rPr>
          <w:sz w:val="24"/>
          <w:lang w:val="el-GR"/>
        </w:rPr>
        <w:t>επιπέδου διαμεταφοράς</w:t>
      </w:r>
      <w:r w:rsidRPr="00F26CA5">
        <w:rPr>
          <w:sz w:val="24"/>
          <w:lang w:val="el-GR"/>
        </w:rPr>
        <w:t>, πρέπει να παρέχεται σε επίπεδο αποστολής</w:t>
      </w:r>
      <w:r w:rsidR="00F26CA5">
        <w:rPr>
          <w:sz w:val="24"/>
          <w:lang w:val="el-GR"/>
        </w:rPr>
        <w:t xml:space="preserve"> διαμεταφοράς</w:t>
      </w:r>
      <w:r w:rsidRPr="00F26CA5">
        <w:rPr>
          <w:sz w:val="24"/>
          <w:lang w:val="el-GR"/>
        </w:rPr>
        <w:t xml:space="preserve">. Αυτό το </w:t>
      </w:r>
      <w:r w:rsidR="00F26CA5">
        <w:rPr>
          <w:sz w:val="24"/>
          <w:lang w:val="el-GR"/>
        </w:rPr>
        <w:t xml:space="preserve">πρόσωπο </w:t>
      </w:r>
      <w:r w:rsidRPr="00F26CA5">
        <w:rPr>
          <w:sz w:val="24"/>
          <w:lang w:val="el-GR"/>
        </w:rPr>
        <w:t xml:space="preserve"> πρέπει να είναι διαφορετικό από τον μεταφορέα, τον </w:t>
      </w:r>
      <w:r w:rsidR="00F26CA5">
        <w:rPr>
          <w:sz w:val="24"/>
          <w:lang w:val="el-GR"/>
        </w:rPr>
        <w:t>διαμ</w:t>
      </w:r>
      <w:r w:rsidRPr="00F26CA5">
        <w:rPr>
          <w:sz w:val="24"/>
          <w:lang w:val="el-GR"/>
        </w:rPr>
        <w:t xml:space="preserve">εταφορέα, τον </w:t>
      </w:r>
      <w:r w:rsidR="00F26CA5">
        <w:rPr>
          <w:sz w:val="24"/>
          <w:lang w:val="el-GR"/>
        </w:rPr>
        <w:t xml:space="preserve">φορέα </w:t>
      </w:r>
      <w:r w:rsidRPr="00F26CA5">
        <w:rPr>
          <w:sz w:val="24"/>
          <w:lang w:val="el-GR"/>
        </w:rPr>
        <w:t>ενοπ</w:t>
      </w:r>
      <w:r w:rsidR="00F26CA5">
        <w:rPr>
          <w:sz w:val="24"/>
          <w:lang w:val="el-GR"/>
        </w:rPr>
        <w:t>οίησης εμπορευμάτων (</w:t>
      </w:r>
      <w:r w:rsidR="00F26CA5">
        <w:rPr>
          <w:sz w:val="24"/>
          <w:lang w:val="en-US"/>
        </w:rPr>
        <w:t>consolidator</w:t>
      </w:r>
      <w:r w:rsidR="00F26CA5" w:rsidRPr="00F26CA5">
        <w:rPr>
          <w:sz w:val="24"/>
          <w:lang w:val="el-GR"/>
        </w:rPr>
        <w:t xml:space="preserve">) </w:t>
      </w:r>
      <w:r w:rsidRPr="00F26CA5">
        <w:rPr>
          <w:sz w:val="24"/>
          <w:lang w:val="el-GR"/>
        </w:rPr>
        <w:t xml:space="preserve">, τον ταχυδρομικό φορέα ή τον τελωνειακό </w:t>
      </w:r>
      <w:r w:rsidR="00F26CA5">
        <w:rPr>
          <w:sz w:val="24"/>
          <w:lang w:val="el-GR"/>
        </w:rPr>
        <w:t xml:space="preserve">αντιπρόσωπο </w:t>
      </w:r>
      <w:r w:rsidRPr="00F26CA5">
        <w:rPr>
          <w:sz w:val="24"/>
          <w:lang w:val="el-GR"/>
        </w:rPr>
        <w:t>.</w:t>
      </w:r>
    </w:p>
    <w:p w14:paraId="4DB6CCFC" w14:textId="19EB34BD" w:rsidR="00924365" w:rsidRPr="00F26CA5" w:rsidRDefault="00413177">
      <w:pPr>
        <w:pStyle w:val="a5"/>
        <w:numPr>
          <w:ilvl w:val="0"/>
          <w:numId w:val="1"/>
        </w:numPr>
        <w:tabs>
          <w:tab w:val="left" w:pos="1607"/>
        </w:tabs>
        <w:ind w:left="1606" w:hanging="360"/>
        <w:rPr>
          <w:rFonts w:ascii="Symbol" w:hAnsi="Symbol"/>
          <w:sz w:val="24"/>
          <w:lang w:val="el-GR"/>
        </w:rPr>
      </w:pPr>
      <w:r w:rsidRPr="00F26CA5">
        <w:rPr>
          <w:sz w:val="24"/>
          <w:lang w:val="el-GR"/>
        </w:rPr>
        <w:t xml:space="preserve">Ο παραλήπτης, όπως ορίζεται στην αεροπορική φορτωτική του χαμηλότερου </w:t>
      </w:r>
      <w:r w:rsidR="00F26CA5">
        <w:rPr>
          <w:sz w:val="24"/>
          <w:lang w:val="el-GR"/>
        </w:rPr>
        <w:t>επιπέδου διαμεταφοράς</w:t>
      </w:r>
      <w:r w:rsidRPr="00F26CA5">
        <w:rPr>
          <w:sz w:val="24"/>
          <w:lang w:val="el-GR"/>
        </w:rPr>
        <w:t>, πρέπει να παρέχεται σε επίπεδο αποστολής</w:t>
      </w:r>
      <w:r w:rsidR="00F26CA5">
        <w:rPr>
          <w:sz w:val="24"/>
          <w:lang w:val="el-GR"/>
        </w:rPr>
        <w:t xml:space="preserve"> διαμεταφοράς</w:t>
      </w:r>
      <w:r w:rsidRPr="00F26CA5">
        <w:rPr>
          <w:sz w:val="24"/>
          <w:lang w:val="el-GR"/>
        </w:rPr>
        <w:t xml:space="preserve">. Το πρόσωπο αυτό πρέπει να είναι διαφορετικό από τον μεταφορέα, τον </w:t>
      </w:r>
      <w:r w:rsidR="00F26CA5" w:rsidRPr="00F26CA5">
        <w:rPr>
          <w:sz w:val="24"/>
          <w:lang w:val="el-GR"/>
        </w:rPr>
        <w:t>φορέα ενοποίησης</w:t>
      </w:r>
      <w:r w:rsidR="00F26CA5">
        <w:rPr>
          <w:sz w:val="24"/>
          <w:lang w:val="el-GR"/>
        </w:rPr>
        <w:t>/</w:t>
      </w:r>
      <w:proofErr w:type="spellStart"/>
      <w:r w:rsidR="00F26CA5">
        <w:rPr>
          <w:sz w:val="24"/>
          <w:lang w:val="el-GR"/>
        </w:rPr>
        <w:t>αποενοποίησης</w:t>
      </w:r>
      <w:proofErr w:type="spellEnd"/>
      <w:r w:rsidR="00F26CA5">
        <w:rPr>
          <w:sz w:val="24"/>
          <w:lang w:val="el-GR"/>
        </w:rPr>
        <w:t xml:space="preserve"> </w:t>
      </w:r>
      <w:r w:rsidR="00F26CA5" w:rsidRPr="00F26CA5">
        <w:rPr>
          <w:sz w:val="24"/>
          <w:lang w:val="el-GR"/>
        </w:rPr>
        <w:t>εμπορευμάτων</w:t>
      </w:r>
      <w:r w:rsidR="00E72540" w:rsidRPr="00E72540">
        <w:rPr>
          <w:sz w:val="24"/>
          <w:lang w:val="el-GR"/>
        </w:rPr>
        <w:t xml:space="preserve"> </w:t>
      </w:r>
      <w:r w:rsidR="00EB71E5">
        <w:rPr>
          <w:sz w:val="24"/>
          <w:lang w:val="el-GR"/>
        </w:rPr>
        <w:t>[(</w:t>
      </w:r>
      <w:r w:rsidR="00EB71E5">
        <w:rPr>
          <w:sz w:val="24"/>
          <w:lang w:val="en-US"/>
        </w:rPr>
        <w:t>de</w:t>
      </w:r>
      <w:r w:rsidR="00EB71E5" w:rsidRPr="00EB71E5">
        <w:rPr>
          <w:sz w:val="24"/>
          <w:lang w:val="el-GR"/>
        </w:rPr>
        <w:t>)</w:t>
      </w:r>
      <w:proofErr w:type="spellStart"/>
      <w:r w:rsidR="00F26CA5" w:rsidRPr="00F26CA5">
        <w:rPr>
          <w:sz w:val="24"/>
          <w:lang w:val="el-GR"/>
        </w:rPr>
        <w:t>consolidator</w:t>
      </w:r>
      <w:proofErr w:type="spellEnd"/>
      <w:r w:rsidR="00EB71E5" w:rsidRPr="00EB71E5">
        <w:rPr>
          <w:sz w:val="24"/>
          <w:lang w:val="el-GR"/>
        </w:rPr>
        <w:t>]</w:t>
      </w:r>
      <w:r w:rsidRPr="00F26CA5">
        <w:rPr>
          <w:sz w:val="24"/>
          <w:lang w:val="el-GR"/>
        </w:rPr>
        <w:t xml:space="preserve">, τον ταχυδρομικό φορέα ή τον </w:t>
      </w:r>
      <w:r w:rsidR="00F26CA5">
        <w:rPr>
          <w:sz w:val="24"/>
          <w:lang w:val="el-GR"/>
        </w:rPr>
        <w:t>τελωνειακό αντιπρόσωπο</w:t>
      </w:r>
      <w:r w:rsidRPr="00F26CA5">
        <w:rPr>
          <w:sz w:val="24"/>
          <w:lang w:val="el-GR"/>
        </w:rPr>
        <w:t>.</w:t>
      </w:r>
    </w:p>
    <w:p w14:paraId="78E2C1DA" w14:textId="2BC5FECA" w:rsidR="00924365" w:rsidRPr="00F26CA5" w:rsidRDefault="00413177">
      <w:pPr>
        <w:pStyle w:val="a5"/>
        <w:numPr>
          <w:ilvl w:val="0"/>
          <w:numId w:val="1"/>
        </w:numPr>
        <w:tabs>
          <w:tab w:val="left" w:pos="1607"/>
        </w:tabs>
        <w:ind w:left="1606" w:right="1701" w:hanging="360"/>
        <w:rPr>
          <w:rFonts w:ascii="Symbol" w:hAnsi="Symbol"/>
          <w:sz w:val="24"/>
          <w:lang w:val="el-GR"/>
        </w:rPr>
      </w:pPr>
      <w:r w:rsidRPr="00F26CA5">
        <w:rPr>
          <w:sz w:val="24"/>
          <w:lang w:val="el-GR"/>
        </w:rPr>
        <w:t>Η απάντηση σε παραπομπ</w:t>
      </w:r>
      <w:r w:rsidR="00EB71E5">
        <w:rPr>
          <w:sz w:val="24"/>
          <w:lang w:val="el-GR"/>
        </w:rPr>
        <w:t>ές</w:t>
      </w:r>
      <w:r w:rsidRPr="00F26CA5">
        <w:rPr>
          <w:sz w:val="24"/>
          <w:lang w:val="el-GR"/>
        </w:rPr>
        <w:t xml:space="preserve"> </w:t>
      </w:r>
      <w:r w:rsidR="00E72540" w:rsidRPr="00E72540">
        <w:rPr>
          <w:sz w:val="24"/>
          <w:lang w:val="el-GR"/>
        </w:rPr>
        <w:t>(</w:t>
      </w:r>
      <w:r w:rsidR="00E72540">
        <w:rPr>
          <w:sz w:val="24"/>
          <w:lang w:val="en-US"/>
        </w:rPr>
        <w:t>Referral</w:t>
      </w:r>
      <w:r w:rsidR="00E72540" w:rsidRPr="00E72540">
        <w:rPr>
          <w:sz w:val="24"/>
          <w:lang w:val="el-GR"/>
        </w:rPr>
        <w:t xml:space="preserve">) </w:t>
      </w:r>
      <w:r w:rsidRPr="00F26CA5">
        <w:rPr>
          <w:sz w:val="24"/>
          <w:lang w:val="el-GR"/>
        </w:rPr>
        <w:t xml:space="preserve">για </w:t>
      </w:r>
      <w:r w:rsidR="00F26CA5">
        <w:rPr>
          <w:sz w:val="24"/>
          <w:lang w:val="el-GR"/>
        </w:rPr>
        <w:t xml:space="preserve">παροχή </w:t>
      </w:r>
      <w:r w:rsidR="00EB71E5">
        <w:rPr>
          <w:sz w:val="24"/>
          <w:lang w:val="el-GR"/>
        </w:rPr>
        <w:t xml:space="preserve">πρόσθετων </w:t>
      </w:r>
      <w:r w:rsidRPr="00F26CA5">
        <w:rPr>
          <w:sz w:val="24"/>
          <w:lang w:val="el-GR"/>
        </w:rPr>
        <w:t>πληροφορ</w:t>
      </w:r>
      <w:r w:rsidR="00F26CA5">
        <w:rPr>
          <w:sz w:val="24"/>
          <w:lang w:val="el-GR"/>
        </w:rPr>
        <w:t>ίων</w:t>
      </w:r>
      <w:r w:rsidRPr="00F26CA5">
        <w:rPr>
          <w:sz w:val="24"/>
          <w:lang w:val="el-GR"/>
        </w:rPr>
        <w:t xml:space="preserve"> ή για έλεγχο</w:t>
      </w:r>
      <w:r w:rsidR="00F26CA5">
        <w:rPr>
          <w:sz w:val="24"/>
          <w:lang w:val="el-GR"/>
        </w:rPr>
        <w:t xml:space="preserve"> </w:t>
      </w:r>
      <w:r w:rsidR="00F26CA5">
        <w:rPr>
          <w:sz w:val="24"/>
          <w:lang w:val="en-US"/>
        </w:rPr>
        <w:t>HRCM</w:t>
      </w:r>
      <w:r w:rsidRPr="00F26CA5">
        <w:rPr>
          <w:sz w:val="24"/>
          <w:lang w:val="el-GR"/>
        </w:rPr>
        <w:t xml:space="preserve"> φορτίου και ταχυδρομείου υψηλού κινδύνου</w:t>
      </w:r>
      <w:r w:rsidR="00E72540" w:rsidRPr="00E72540">
        <w:rPr>
          <w:sz w:val="24"/>
          <w:lang w:val="el-GR"/>
        </w:rPr>
        <w:t xml:space="preserve"> </w:t>
      </w:r>
      <w:r w:rsidRPr="00F26CA5">
        <w:rPr>
          <w:sz w:val="24"/>
          <w:lang w:val="el-GR"/>
        </w:rPr>
        <w:t>είναι υποχρεωτική.</w:t>
      </w:r>
    </w:p>
    <w:p w14:paraId="2E33AE06" w14:textId="77777777" w:rsidR="00924365" w:rsidRPr="00F26CA5" w:rsidRDefault="00924365">
      <w:pPr>
        <w:pStyle w:val="a3"/>
        <w:spacing w:before="9"/>
        <w:rPr>
          <w:sz w:val="20"/>
          <w:lang w:val="el-GR"/>
        </w:rPr>
      </w:pPr>
    </w:p>
    <w:p w14:paraId="0FA7F054" w14:textId="77777777" w:rsidR="00924365" w:rsidRPr="00F26CA5" w:rsidRDefault="00413177">
      <w:pPr>
        <w:pStyle w:val="a3"/>
        <w:spacing w:before="1"/>
        <w:ind w:left="886"/>
        <w:rPr>
          <w:lang w:val="el-GR"/>
        </w:rPr>
      </w:pPr>
      <w:r w:rsidRPr="00F26CA5">
        <w:rPr>
          <w:lang w:val="el-GR"/>
        </w:rPr>
        <w:t>Ηλεκτρονικό εμπόριο:</w:t>
      </w:r>
    </w:p>
    <w:p w14:paraId="38BB7951" w14:textId="6CF923B8" w:rsidR="00924365" w:rsidRPr="00E72540" w:rsidRDefault="00413177">
      <w:pPr>
        <w:pStyle w:val="a5"/>
        <w:numPr>
          <w:ilvl w:val="0"/>
          <w:numId w:val="1"/>
        </w:numPr>
        <w:tabs>
          <w:tab w:val="left" w:pos="1607"/>
        </w:tabs>
        <w:ind w:left="1606" w:hanging="360"/>
        <w:rPr>
          <w:rFonts w:ascii="Symbol" w:hAnsi="Symbol"/>
          <w:sz w:val="24"/>
          <w:u w:val="single"/>
          <w:lang w:val="el-GR"/>
        </w:rPr>
      </w:pPr>
      <w:r w:rsidRPr="00F26CA5">
        <w:rPr>
          <w:sz w:val="24"/>
          <w:lang w:val="el-GR"/>
        </w:rPr>
        <w:t xml:space="preserve">Τα δεδομένα </w:t>
      </w:r>
      <w:r w:rsidR="00F26CA5">
        <w:rPr>
          <w:sz w:val="24"/>
          <w:lang w:val="el-GR"/>
        </w:rPr>
        <w:t xml:space="preserve">επιπέδου </w:t>
      </w:r>
      <w:r w:rsidRPr="00F26CA5">
        <w:rPr>
          <w:sz w:val="24"/>
          <w:lang w:val="el-GR"/>
        </w:rPr>
        <w:t xml:space="preserve">αποστολής </w:t>
      </w:r>
      <w:proofErr w:type="spellStart"/>
      <w:r w:rsidR="00F26CA5">
        <w:rPr>
          <w:sz w:val="24"/>
          <w:lang w:val="el-GR"/>
        </w:rPr>
        <w:t>διαμεταφοράς</w:t>
      </w:r>
      <w:proofErr w:type="spellEnd"/>
      <w:r w:rsidR="00F26CA5">
        <w:rPr>
          <w:sz w:val="24"/>
          <w:lang w:val="el-GR"/>
        </w:rPr>
        <w:t xml:space="preserve"> </w:t>
      </w:r>
      <w:r w:rsidRPr="00F26CA5">
        <w:rPr>
          <w:sz w:val="24"/>
          <w:lang w:val="el-GR"/>
        </w:rPr>
        <w:t xml:space="preserve">πρέπει να δηλώνονται </w:t>
      </w:r>
      <w:r w:rsidR="00F26CA5">
        <w:rPr>
          <w:sz w:val="24"/>
          <w:lang w:val="el-GR"/>
        </w:rPr>
        <w:t>σε</w:t>
      </w:r>
      <w:r w:rsidRPr="00F26CA5">
        <w:rPr>
          <w:sz w:val="24"/>
          <w:lang w:val="el-GR"/>
        </w:rPr>
        <w:t xml:space="preserve"> επίπεδο κάθε ξεχωριστ</w:t>
      </w:r>
      <w:r w:rsidR="00F26CA5">
        <w:rPr>
          <w:sz w:val="24"/>
          <w:lang w:val="el-GR"/>
        </w:rPr>
        <w:t xml:space="preserve">ού </w:t>
      </w:r>
      <w:r w:rsidR="00EB71E5">
        <w:rPr>
          <w:sz w:val="24"/>
          <w:lang w:val="el-GR"/>
        </w:rPr>
        <w:t>φ</w:t>
      </w:r>
      <w:r w:rsidR="00F26CA5">
        <w:rPr>
          <w:sz w:val="24"/>
          <w:lang w:val="el-GR"/>
        </w:rPr>
        <w:t>ορτίου</w:t>
      </w:r>
      <w:r w:rsidR="00EB71E5">
        <w:rPr>
          <w:sz w:val="24"/>
          <w:lang w:val="el-GR"/>
        </w:rPr>
        <w:t xml:space="preserve"> εμπορευμάτων</w:t>
      </w:r>
      <w:r w:rsidR="00F26CA5">
        <w:rPr>
          <w:sz w:val="24"/>
          <w:lang w:val="el-GR"/>
        </w:rPr>
        <w:t xml:space="preserve"> </w:t>
      </w:r>
      <w:r w:rsidRPr="00F26CA5">
        <w:rPr>
          <w:sz w:val="24"/>
          <w:lang w:val="el-GR"/>
        </w:rPr>
        <w:t xml:space="preserve">ηλεκτρονικού εμπορίου </w:t>
      </w:r>
      <w:r w:rsidR="00F26CA5">
        <w:rPr>
          <w:sz w:val="24"/>
          <w:lang w:val="el-GR"/>
        </w:rPr>
        <w:t xml:space="preserve">και </w:t>
      </w:r>
      <w:r w:rsidR="00EB71E5">
        <w:rPr>
          <w:sz w:val="24"/>
          <w:lang w:val="el-GR"/>
        </w:rPr>
        <w:t>να</w:t>
      </w:r>
      <w:r w:rsidR="00F26CA5">
        <w:rPr>
          <w:sz w:val="24"/>
          <w:lang w:val="el-GR"/>
        </w:rPr>
        <w:t xml:space="preserve"> συμπεριλαμβάνουν τα </w:t>
      </w:r>
      <w:r w:rsidRPr="00F26CA5">
        <w:rPr>
          <w:sz w:val="24"/>
          <w:lang w:val="el-GR"/>
        </w:rPr>
        <w:t>δεδομέν</w:t>
      </w:r>
      <w:r w:rsidR="00F26CA5">
        <w:rPr>
          <w:sz w:val="24"/>
          <w:lang w:val="el-GR"/>
        </w:rPr>
        <w:t>α</w:t>
      </w:r>
      <w:r w:rsidRPr="00F26CA5">
        <w:rPr>
          <w:sz w:val="24"/>
          <w:lang w:val="el-GR"/>
        </w:rPr>
        <w:t xml:space="preserve"> για κάθε είδος εμπορευμάτων σε κάθε </w:t>
      </w:r>
      <w:r w:rsidR="00EB71E5">
        <w:rPr>
          <w:sz w:val="24"/>
          <w:lang w:val="el-GR"/>
        </w:rPr>
        <w:t>φορτίο εμπορευμάτων</w:t>
      </w:r>
      <w:r w:rsidRPr="00F26CA5">
        <w:rPr>
          <w:sz w:val="24"/>
          <w:lang w:val="el-GR"/>
        </w:rPr>
        <w:t xml:space="preserve">. Τα δεδομένα δεν μπορούν να ενοποιηθούν </w:t>
      </w:r>
      <w:r w:rsidRPr="00F26CA5">
        <w:rPr>
          <w:sz w:val="24"/>
          <w:lang w:val="el-GR"/>
        </w:rPr>
        <w:lastRenderedPageBreak/>
        <w:t xml:space="preserve">σε μία </w:t>
      </w:r>
      <w:r w:rsidR="00EB71E5">
        <w:rPr>
          <w:sz w:val="24"/>
          <w:lang w:val="el-GR"/>
        </w:rPr>
        <w:t xml:space="preserve">αποστολή επιπέδου διαμεταφοράς </w:t>
      </w:r>
      <w:r w:rsidRPr="00F26CA5">
        <w:rPr>
          <w:sz w:val="24"/>
          <w:lang w:val="el-GR"/>
        </w:rPr>
        <w:t xml:space="preserve"> για όλες τις αποστολές με γενική περιγραφή. </w:t>
      </w:r>
      <w:r w:rsidRPr="00E72540">
        <w:rPr>
          <w:sz w:val="24"/>
          <w:u w:val="single"/>
          <w:lang w:val="el-GR"/>
        </w:rPr>
        <w:t xml:space="preserve">Για το λόγο αυτό, </w:t>
      </w:r>
      <w:r w:rsidR="00EB71E5" w:rsidRPr="00E72540">
        <w:rPr>
          <w:sz w:val="24"/>
          <w:u w:val="single"/>
          <w:lang w:val="el-GR"/>
        </w:rPr>
        <w:t xml:space="preserve">οι υποβολές συνόλων δεδομένων </w:t>
      </w:r>
      <w:r w:rsidRPr="00E72540">
        <w:rPr>
          <w:sz w:val="24"/>
          <w:u w:val="single"/>
          <w:lang w:val="el-GR"/>
        </w:rPr>
        <w:t>F28, F29 δεν</w:t>
      </w:r>
      <w:r w:rsidR="00EB71E5" w:rsidRPr="00E72540">
        <w:rPr>
          <w:sz w:val="24"/>
          <w:u w:val="single"/>
          <w:lang w:val="el-GR"/>
        </w:rPr>
        <w:t xml:space="preserve"> </w:t>
      </w:r>
      <w:r w:rsidRPr="00E72540">
        <w:rPr>
          <w:sz w:val="24"/>
          <w:u w:val="single"/>
          <w:lang w:val="el-GR"/>
        </w:rPr>
        <w:t xml:space="preserve">μπορούν να χρησιμοποιηθούν για </w:t>
      </w:r>
      <w:r w:rsidR="00EB71E5" w:rsidRPr="00E72540">
        <w:rPr>
          <w:sz w:val="24"/>
          <w:u w:val="single"/>
          <w:lang w:val="el-GR"/>
        </w:rPr>
        <w:t xml:space="preserve">φορτία </w:t>
      </w:r>
      <w:r w:rsidRPr="00E72540">
        <w:rPr>
          <w:sz w:val="24"/>
          <w:u w:val="single"/>
          <w:lang w:val="el-GR"/>
        </w:rPr>
        <w:t>ηλεκτρονικού εμπορίου.</w:t>
      </w:r>
    </w:p>
    <w:p w14:paraId="64202249" w14:textId="26121F68" w:rsidR="00924365" w:rsidRPr="00E72540" w:rsidRDefault="00413177" w:rsidP="00E72540">
      <w:pPr>
        <w:pStyle w:val="a5"/>
        <w:numPr>
          <w:ilvl w:val="0"/>
          <w:numId w:val="1"/>
        </w:numPr>
        <w:tabs>
          <w:tab w:val="left" w:pos="1600"/>
        </w:tabs>
        <w:spacing w:before="120"/>
        <w:ind w:right="1706"/>
        <w:rPr>
          <w:sz w:val="24"/>
          <w:szCs w:val="24"/>
          <w:lang w:val="el-GR"/>
        </w:rPr>
      </w:pPr>
      <w:r w:rsidRPr="00E72540">
        <w:rPr>
          <w:sz w:val="24"/>
          <w:lang w:val="el-GR"/>
        </w:rPr>
        <w:t>Είναι ζωτικής σημασίας για τους μεταφορείς να επιδεικνύουν τη δέουσα επιμέλεια κατά τη διεκπεραίωση αποστολών ηλεκτρονικού εμπορίου, καθώς η πολυπλοκότητα αυτών των συναλλαγών μπορεί να αυξήσει τον κίνδυνο ψευδούς δήλωσης. Εάν ένας μεταφορέας υποψιάζεται ότι μια αποστολή συνδέεται με το ηλεκτρονικό εμπόριο, είναι σημαντικό να ζητήσε</w:t>
      </w:r>
      <w:r w:rsidR="00E72540" w:rsidRPr="00E72540">
        <w:rPr>
          <w:sz w:val="24"/>
          <w:lang w:val="el-GR"/>
        </w:rPr>
        <w:t>ι</w:t>
      </w:r>
      <w:r w:rsidRPr="00E72540">
        <w:rPr>
          <w:sz w:val="24"/>
          <w:lang w:val="el-GR"/>
        </w:rPr>
        <w:t xml:space="preserve"> τα απαιτούμενα δεδομένα από τον αποστολέα για να διασφαλίσε</w:t>
      </w:r>
      <w:r w:rsidR="00E72540" w:rsidRPr="00E72540">
        <w:rPr>
          <w:sz w:val="24"/>
          <w:lang w:val="el-GR"/>
        </w:rPr>
        <w:t>ι</w:t>
      </w:r>
      <w:r w:rsidRPr="00E72540">
        <w:rPr>
          <w:sz w:val="24"/>
          <w:lang w:val="el-GR"/>
        </w:rPr>
        <w:t xml:space="preserve"> τη συμμόρφωση με τους τελωνειακούς κανονισμούς. Αυτή </w:t>
      </w:r>
      <w:r w:rsidRPr="00E72540">
        <w:rPr>
          <w:sz w:val="24"/>
          <w:szCs w:val="24"/>
          <w:lang w:val="el-GR"/>
        </w:rPr>
        <w:t xml:space="preserve">η προληπτική προσέγγιση - ισχύει και για άλλες αποστολές- </w:t>
      </w:r>
      <w:r w:rsidR="00EB71E5" w:rsidRPr="00E72540">
        <w:rPr>
          <w:sz w:val="24"/>
          <w:szCs w:val="24"/>
          <w:lang w:val="el-GR"/>
        </w:rPr>
        <w:t xml:space="preserve"> </w:t>
      </w:r>
      <w:r w:rsidRPr="00E72540">
        <w:rPr>
          <w:sz w:val="24"/>
          <w:szCs w:val="24"/>
          <w:lang w:val="el-GR"/>
        </w:rPr>
        <w:t>επιτρέπει στους μεταφορείς να επαληθεύουν την ακρίβεια και την πληρότητα των πληροφοριών και να αποφεύγουν πιθανές ευθύνες που συνδέονται με ψευδείς δηλώσεις.</w:t>
      </w:r>
    </w:p>
    <w:p w14:paraId="3FD03BBD" w14:textId="299636EC" w:rsidR="00924365" w:rsidRPr="00F26CA5" w:rsidRDefault="00413177">
      <w:pPr>
        <w:pStyle w:val="a5"/>
        <w:numPr>
          <w:ilvl w:val="0"/>
          <w:numId w:val="1"/>
        </w:numPr>
        <w:tabs>
          <w:tab w:val="left" w:pos="1600"/>
        </w:tabs>
        <w:ind w:right="1701"/>
        <w:rPr>
          <w:rFonts w:ascii="Symbol" w:hAnsi="Symbol"/>
          <w:sz w:val="24"/>
          <w:lang w:val="el-GR"/>
        </w:rPr>
      </w:pPr>
      <w:r w:rsidRPr="00F26CA5">
        <w:rPr>
          <w:sz w:val="24"/>
          <w:lang w:val="el-GR"/>
        </w:rPr>
        <w:t>Η μη λήψη ακριβών και πλήρων πληροφοριών μπορεί να έχει ως αποτέλεσμα ο μεταφορέας να θεωρηθεί υπεύθυνος για τυχόν αποκλίσεις ή σφάλματα στη δ</w:t>
      </w:r>
      <w:r w:rsidR="00EB71E5">
        <w:rPr>
          <w:sz w:val="24"/>
          <w:lang w:val="el-GR"/>
        </w:rPr>
        <w:t>ιασάφηση</w:t>
      </w:r>
      <w:r w:rsidRPr="00F26CA5">
        <w:rPr>
          <w:sz w:val="24"/>
          <w:lang w:val="el-GR"/>
        </w:rPr>
        <w:t>.</w:t>
      </w:r>
    </w:p>
    <w:p w14:paraId="329086BF" w14:textId="77777777" w:rsidR="00924365" w:rsidRPr="00F26CA5" w:rsidRDefault="00924365">
      <w:pPr>
        <w:pStyle w:val="a3"/>
        <w:rPr>
          <w:sz w:val="20"/>
          <w:lang w:val="el-GR"/>
        </w:rPr>
      </w:pPr>
    </w:p>
    <w:p w14:paraId="6D8E12FE" w14:textId="77777777" w:rsidR="00924365" w:rsidRPr="00F26CA5" w:rsidRDefault="00924365">
      <w:pPr>
        <w:pStyle w:val="a3"/>
        <w:rPr>
          <w:sz w:val="20"/>
          <w:lang w:val="el-GR"/>
        </w:rPr>
      </w:pPr>
    </w:p>
    <w:p w14:paraId="7E7B90A8" w14:textId="77777777" w:rsidR="00924365" w:rsidRPr="00F26CA5" w:rsidRDefault="00924365">
      <w:pPr>
        <w:pStyle w:val="a3"/>
        <w:rPr>
          <w:sz w:val="20"/>
          <w:lang w:val="el-GR"/>
        </w:rPr>
      </w:pPr>
    </w:p>
    <w:p w14:paraId="1AEAB910" w14:textId="77777777" w:rsidR="00924365" w:rsidRPr="00F26CA5" w:rsidRDefault="00924365">
      <w:pPr>
        <w:pStyle w:val="a3"/>
        <w:rPr>
          <w:sz w:val="20"/>
          <w:lang w:val="el-GR"/>
        </w:rPr>
      </w:pPr>
    </w:p>
    <w:p w14:paraId="39CA654B" w14:textId="77777777" w:rsidR="00924365" w:rsidRPr="00F26CA5" w:rsidRDefault="00924365">
      <w:pPr>
        <w:pStyle w:val="a3"/>
        <w:spacing w:before="10"/>
        <w:rPr>
          <w:sz w:val="23"/>
          <w:lang w:val="el-GR"/>
        </w:rPr>
      </w:pPr>
    </w:p>
    <w:p w14:paraId="249CB6DB" w14:textId="77777777" w:rsidR="00924365" w:rsidRPr="00F26CA5" w:rsidRDefault="00413177">
      <w:pPr>
        <w:spacing w:before="94"/>
        <w:ind w:left="886"/>
        <w:rPr>
          <w:sz w:val="16"/>
          <w:lang w:val="el-GR"/>
        </w:rPr>
      </w:pPr>
      <w:r w:rsidRPr="00E72540">
        <w:rPr>
          <w:sz w:val="16"/>
          <w:lang w:val="en-US"/>
        </w:rPr>
        <w:t xml:space="preserve">Commission </w:t>
      </w:r>
      <w:proofErr w:type="spellStart"/>
      <w:r w:rsidRPr="00E72540">
        <w:rPr>
          <w:sz w:val="16"/>
          <w:lang w:val="en-US"/>
        </w:rPr>
        <w:t>européenne</w:t>
      </w:r>
      <w:proofErr w:type="spellEnd"/>
      <w:r w:rsidRPr="00E72540">
        <w:rPr>
          <w:sz w:val="16"/>
          <w:lang w:val="en-US"/>
        </w:rPr>
        <w:t xml:space="preserve"> </w:t>
      </w:r>
      <w:r w:rsidRPr="00F26CA5">
        <w:rPr>
          <w:sz w:val="16"/>
          <w:lang w:val="el-GR"/>
        </w:rPr>
        <w:t>κατά</w:t>
      </w:r>
      <w:r w:rsidRPr="00E72540">
        <w:rPr>
          <w:sz w:val="16"/>
          <w:lang w:val="en-US"/>
        </w:rPr>
        <w:t xml:space="preserve"> </w:t>
      </w:r>
      <w:r w:rsidRPr="00F26CA5">
        <w:rPr>
          <w:sz w:val="16"/>
          <w:lang w:val="el-GR"/>
        </w:rPr>
        <w:t>Ευρωπαϊκής</w:t>
      </w:r>
      <w:r w:rsidRPr="00E72540">
        <w:rPr>
          <w:sz w:val="16"/>
          <w:lang w:val="en-US"/>
        </w:rPr>
        <w:t xml:space="preserve"> </w:t>
      </w:r>
      <w:r w:rsidRPr="00F26CA5">
        <w:rPr>
          <w:sz w:val="16"/>
          <w:lang w:val="el-GR"/>
        </w:rPr>
        <w:t>Επιτροπής</w:t>
      </w:r>
      <w:r w:rsidRPr="00E72540">
        <w:rPr>
          <w:sz w:val="16"/>
          <w:lang w:val="en-US"/>
        </w:rPr>
        <w:t xml:space="preserve">, 1049 </w:t>
      </w:r>
      <w:proofErr w:type="spellStart"/>
      <w:r w:rsidRPr="00E72540">
        <w:rPr>
          <w:sz w:val="16"/>
          <w:lang w:val="en-US"/>
        </w:rPr>
        <w:t>Bruxelles</w:t>
      </w:r>
      <w:proofErr w:type="spellEnd"/>
      <w:r w:rsidRPr="00E72540">
        <w:rPr>
          <w:sz w:val="16"/>
          <w:lang w:val="en-US"/>
        </w:rPr>
        <w:t xml:space="preserve">/Brussel, BELGIQUE / BELGIUM – </w:t>
      </w:r>
      <w:proofErr w:type="spellStart"/>
      <w:r w:rsidRPr="00F26CA5">
        <w:rPr>
          <w:sz w:val="16"/>
          <w:lang w:val="el-GR"/>
        </w:rPr>
        <w:t>Τηλ</w:t>
      </w:r>
      <w:proofErr w:type="spellEnd"/>
      <w:r w:rsidRPr="00E72540">
        <w:rPr>
          <w:sz w:val="16"/>
          <w:lang w:val="en-US"/>
        </w:rPr>
        <w:t xml:space="preserve">. </w:t>
      </w:r>
      <w:r w:rsidRPr="00F26CA5">
        <w:rPr>
          <w:sz w:val="16"/>
          <w:lang w:val="el-GR"/>
        </w:rPr>
        <w:t>+32 22991111</w:t>
      </w:r>
    </w:p>
    <w:p w14:paraId="2B1FA369" w14:textId="77777777" w:rsidR="00924365" w:rsidRPr="00F26CA5" w:rsidRDefault="00924365">
      <w:pPr>
        <w:pStyle w:val="a3"/>
        <w:spacing w:before="4"/>
        <w:rPr>
          <w:sz w:val="26"/>
          <w:lang w:val="el-GR"/>
        </w:rPr>
      </w:pPr>
    </w:p>
    <w:p w14:paraId="77CCC14B" w14:textId="155978FD" w:rsidR="00924365" w:rsidRPr="00F26CA5" w:rsidRDefault="00413177" w:rsidP="00E66B04">
      <w:pPr>
        <w:spacing w:before="95"/>
        <w:ind w:left="993" w:right="1006"/>
        <w:rPr>
          <w:rFonts w:ascii="Liberation Sans"/>
          <w:sz w:val="20"/>
          <w:lang w:val="el-GR"/>
        </w:rPr>
      </w:pPr>
      <w:r w:rsidRPr="00F26CA5">
        <w:rPr>
          <w:rFonts w:ascii="Liberation Sans"/>
          <w:sz w:val="20"/>
          <w:lang w:val="el-GR"/>
        </w:rPr>
        <w:t>Ηλεκτρονική</w:t>
      </w:r>
      <w:r w:rsidRPr="00F26CA5">
        <w:rPr>
          <w:rFonts w:ascii="Liberation Sans"/>
          <w:sz w:val="20"/>
          <w:lang w:val="el-GR"/>
        </w:rPr>
        <w:t xml:space="preserve"> </w:t>
      </w:r>
      <w:r w:rsidRPr="00F26CA5">
        <w:rPr>
          <w:rFonts w:ascii="Liberation Sans"/>
          <w:sz w:val="20"/>
          <w:lang w:val="el-GR"/>
        </w:rPr>
        <w:t>υπογραφή</w:t>
      </w:r>
      <w:r w:rsidRPr="00F26CA5">
        <w:rPr>
          <w:rFonts w:ascii="Liberation Sans"/>
          <w:sz w:val="20"/>
          <w:lang w:val="el-GR"/>
        </w:rPr>
        <w:t xml:space="preserve"> </w:t>
      </w:r>
      <w:r w:rsidRPr="00F26CA5">
        <w:rPr>
          <w:rFonts w:ascii="Liberation Sans"/>
          <w:sz w:val="20"/>
          <w:lang w:val="el-GR"/>
        </w:rPr>
        <w:t>στις</w:t>
      </w:r>
      <w:r w:rsidRPr="00F26CA5">
        <w:rPr>
          <w:rFonts w:ascii="Liberation Sans"/>
          <w:sz w:val="20"/>
          <w:lang w:val="el-GR"/>
        </w:rPr>
        <w:t xml:space="preserve"> 06/12/2024 07:23 (UTC+01) </w:t>
      </w:r>
      <w:r w:rsidRPr="00F26CA5">
        <w:rPr>
          <w:rFonts w:ascii="Liberation Sans"/>
          <w:sz w:val="20"/>
          <w:lang w:val="el-GR"/>
        </w:rPr>
        <w:t>σύμφωνα</w:t>
      </w:r>
      <w:r w:rsidRPr="00F26CA5">
        <w:rPr>
          <w:rFonts w:ascii="Liberation Sans"/>
          <w:sz w:val="20"/>
          <w:lang w:val="el-GR"/>
        </w:rPr>
        <w:t xml:space="preserve"> </w:t>
      </w:r>
      <w:r w:rsidRPr="00F26CA5">
        <w:rPr>
          <w:rFonts w:ascii="Liberation Sans"/>
          <w:sz w:val="20"/>
          <w:lang w:val="el-GR"/>
        </w:rPr>
        <w:t>με</w:t>
      </w:r>
      <w:r w:rsidRPr="00F26CA5">
        <w:rPr>
          <w:rFonts w:ascii="Liberation Sans"/>
          <w:sz w:val="20"/>
          <w:lang w:val="el-GR"/>
        </w:rPr>
        <w:t xml:space="preserve"> </w:t>
      </w:r>
      <w:r w:rsidRPr="00F26CA5">
        <w:rPr>
          <w:rFonts w:ascii="Liberation Sans"/>
          <w:sz w:val="20"/>
          <w:lang w:val="el-GR"/>
        </w:rPr>
        <w:t>το</w:t>
      </w:r>
      <w:r w:rsidRPr="00F26CA5">
        <w:rPr>
          <w:rFonts w:ascii="Liberation Sans"/>
          <w:sz w:val="20"/>
          <w:lang w:val="el-GR"/>
        </w:rPr>
        <w:t xml:space="preserve"> </w:t>
      </w:r>
      <w:r w:rsidRPr="00F26CA5">
        <w:rPr>
          <w:rFonts w:ascii="Liberation Sans"/>
          <w:sz w:val="20"/>
          <w:lang w:val="el-GR"/>
        </w:rPr>
        <w:t>άρθρο</w:t>
      </w:r>
      <w:r w:rsidRPr="00F26CA5">
        <w:rPr>
          <w:rFonts w:ascii="Liberation Sans"/>
          <w:sz w:val="20"/>
          <w:lang w:val="el-GR"/>
        </w:rPr>
        <w:t xml:space="preserve"> 11 </w:t>
      </w:r>
      <w:r w:rsidRPr="00F26CA5">
        <w:rPr>
          <w:rFonts w:ascii="Liberation Sans"/>
          <w:sz w:val="20"/>
          <w:lang w:val="el-GR"/>
        </w:rPr>
        <w:t>της</w:t>
      </w:r>
      <w:r w:rsidRPr="00F26CA5">
        <w:rPr>
          <w:rFonts w:ascii="Liberation Sans"/>
          <w:sz w:val="20"/>
          <w:lang w:val="el-GR"/>
        </w:rPr>
        <w:t xml:space="preserve"> </w:t>
      </w:r>
      <w:r w:rsidRPr="00F26CA5">
        <w:rPr>
          <w:rFonts w:ascii="Liberation Sans"/>
          <w:sz w:val="20"/>
          <w:lang w:val="el-GR"/>
        </w:rPr>
        <w:t>απόφασης</w:t>
      </w:r>
      <w:r w:rsidRPr="00F26CA5">
        <w:rPr>
          <w:rFonts w:ascii="Liberation Sans"/>
          <w:sz w:val="20"/>
          <w:lang w:val="el-GR"/>
        </w:rPr>
        <w:t xml:space="preserve"> (</w:t>
      </w:r>
      <w:r w:rsidRPr="00F26CA5">
        <w:rPr>
          <w:rFonts w:ascii="Liberation Sans"/>
          <w:sz w:val="20"/>
          <w:lang w:val="el-GR"/>
        </w:rPr>
        <w:t>ΕΕ</w:t>
      </w:r>
      <w:r w:rsidRPr="00F26CA5">
        <w:rPr>
          <w:rFonts w:ascii="Liberation Sans"/>
          <w:sz w:val="20"/>
          <w:lang w:val="el-GR"/>
        </w:rPr>
        <w:t xml:space="preserve">) 2021/2121 </w:t>
      </w:r>
      <w:r w:rsidRPr="00F26CA5">
        <w:rPr>
          <w:rFonts w:ascii="Liberation Sans"/>
          <w:sz w:val="20"/>
          <w:lang w:val="el-GR"/>
        </w:rPr>
        <w:t>της</w:t>
      </w:r>
      <w:r w:rsidRPr="00F26CA5">
        <w:rPr>
          <w:rFonts w:ascii="Liberation Sans"/>
          <w:sz w:val="20"/>
          <w:lang w:val="el-GR"/>
        </w:rPr>
        <w:t xml:space="preserve"> </w:t>
      </w:r>
      <w:r w:rsidRPr="00F26CA5">
        <w:rPr>
          <w:rFonts w:ascii="Liberation Sans"/>
          <w:sz w:val="20"/>
          <w:lang w:val="el-GR"/>
        </w:rPr>
        <w:t>Επιτροπής</w:t>
      </w:r>
      <w:bookmarkStart w:id="0" w:name="_GoBack"/>
      <w:bookmarkEnd w:id="0"/>
    </w:p>
    <w:sectPr w:rsidR="00924365" w:rsidRPr="00F26CA5" w:rsidSect="006F5B36">
      <w:type w:val="continuous"/>
      <w:pgSz w:w="11910" w:h="16840"/>
      <w:pgMar w:top="1134" w:right="851" w:bottom="1134" w:left="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Calibri"/>
    <w:charset w:val="A1"/>
    <w:family w:val="swiss"/>
    <w:pitch w:val="variable"/>
    <w:sig w:usb0="E00002EF" w:usb1="4000205B" w:usb2="00000028" w:usb3="00000000" w:csb0="0000019F" w:csb1="00000000"/>
  </w:font>
  <w:font w:name="Liberation Sans">
    <w:altName w:val="Calibri"/>
    <w:charset w:val="A1"/>
    <w:family w:val="swiss"/>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D51AB"/>
    <w:multiLevelType w:val="hybridMultilevel"/>
    <w:tmpl w:val="A92802DC"/>
    <w:lvl w:ilvl="0" w:tplc="186E7AC8">
      <w:numFmt w:val="bullet"/>
      <w:lvlText w:val=""/>
      <w:lvlJc w:val="left"/>
      <w:pPr>
        <w:ind w:left="1599" w:hanging="356"/>
      </w:pPr>
      <w:rPr>
        <w:rFonts w:ascii="Symbol" w:eastAsia="Symbol" w:hAnsi="Symbol" w:cs="Symbol" w:hint="default"/>
        <w:w w:val="99"/>
        <w:lang w:val="fr-BE" w:eastAsia="en-US" w:bidi="ar-SA"/>
      </w:rPr>
    </w:lvl>
    <w:lvl w:ilvl="1" w:tplc="DE52AFD2">
      <w:numFmt w:val="bullet"/>
      <w:lvlText w:val="•"/>
      <w:lvlJc w:val="left"/>
      <w:pPr>
        <w:ind w:left="2560" w:hanging="356"/>
      </w:pPr>
      <w:rPr>
        <w:rFonts w:hint="default"/>
        <w:lang w:val="fr-BE" w:eastAsia="en-US" w:bidi="ar-SA"/>
      </w:rPr>
    </w:lvl>
    <w:lvl w:ilvl="2" w:tplc="A5540DA0">
      <w:numFmt w:val="bullet"/>
      <w:lvlText w:val="•"/>
      <w:lvlJc w:val="left"/>
      <w:pPr>
        <w:ind w:left="3521" w:hanging="356"/>
      </w:pPr>
      <w:rPr>
        <w:rFonts w:hint="default"/>
        <w:lang w:val="fr-BE" w:eastAsia="en-US" w:bidi="ar-SA"/>
      </w:rPr>
    </w:lvl>
    <w:lvl w:ilvl="3" w:tplc="2CCE4E46">
      <w:numFmt w:val="bullet"/>
      <w:lvlText w:val="•"/>
      <w:lvlJc w:val="left"/>
      <w:pPr>
        <w:ind w:left="4481" w:hanging="356"/>
      </w:pPr>
      <w:rPr>
        <w:rFonts w:hint="default"/>
        <w:lang w:val="fr-BE" w:eastAsia="en-US" w:bidi="ar-SA"/>
      </w:rPr>
    </w:lvl>
    <w:lvl w:ilvl="4" w:tplc="5FB8AC96">
      <w:numFmt w:val="bullet"/>
      <w:lvlText w:val="•"/>
      <w:lvlJc w:val="left"/>
      <w:pPr>
        <w:ind w:left="5442" w:hanging="356"/>
      </w:pPr>
      <w:rPr>
        <w:rFonts w:hint="default"/>
        <w:lang w:val="fr-BE" w:eastAsia="en-US" w:bidi="ar-SA"/>
      </w:rPr>
    </w:lvl>
    <w:lvl w:ilvl="5" w:tplc="66C87F40">
      <w:numFmt w:val="bullet"/>
      <w:lvlText w:val="•"/>
      <w:lvlJc w:val="left"/>
      <w:pPr>
        <w:ind w:left="6403" w:hanging="356"/>
      </w:pPr>
      <w:rPr>
        <w:rFonts w:hint="default"/>
        <w:lang w:val="fr-BE" w:eastAsia="en-US" w:bidi="ar-SA"/>
      </w:rPr>
    </w:lvl>
    <w:lvl w:ilvl="6" w:tplc="48E019B2">
      <w:numFmt w:val="bullet"/>
      <w:lvlText w:val="•"/>
      <w:lvlJc w:val="left"/>
      <w:pPr>
        <w:ind w:left="7363" w:hanging="356"/>
      </w:pPr>
      <w:rPr>
        <w:rFonts w:hint="default"/>
        <w:lang w:val="fr-BE" w:eastAsia="en-US" w:bidi="ar-SA"/>
      </w:rPr>
    </w:lvl>
    <w:lvl w:ilvl="7" w:tplc="173CA22A">
      <w:numFmt w:val="bullet"/>
      <w:lvlText w:val="•"/>
      <w:lvlJc w:val="left"/>
      <w:pPr>
        <w:ind w:left="8324" w:hanging="356"/>
      </w:pPr>
      <w:rPr>
        <w:rFonts w:hint="default"/>
        <w:lang w:val="fr-BE" w:eastAsia="en-US" w:bidi="ar-SA"/>
      </w:rPr>
    </w:lvl>
    <w:lvl w:ilvl="8" w:tplc="D7A8C232">
      <w:numFmt w:val="bullet"/>
      <w:lvlText w:val="•"/>
      <w:lvlJc w:val="left"/>
      <w:pPr>
        <w:ind w:left="9285" w:hanging="356"/>
      </w:pPr>
      <w:rPr>
        <w:rFonts w:hint="default"/>
        <w:lang w:val="fr-B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65"/>
    <w:rsid w:val="001F24F0"/>
    <w:rsid w:val="002160B0"/>
    <w:rsid w:val="00413177"/>
    <w:rsid w:val="004F1999"/>
    <w:rsid w:val="006F5B36"/>
    <w:rsid w:val="00924365"/>
    <w:rsid w:val="00AF0354"/>
    <w:rsid w:val="00C234C4"/>
    <w:rsid w:val="00E66B04"/>
    <w:rsid w:val="00E72540"/>
    <w:rsid w:val="00EB71E5"/>
    <w:rsid w:val="00F26CA5"/>
  </w:rsids>
  <m:mathPr>
    <m:mathFont m:val="Cambria Math"/>
    <m:brkBin m:val="before"/>
    <m:brkBinSub m:val="--"/>
    <m:smallFrac m:val="0"/>
    <m:dispDef/>
    <m:lMargin m:val="0"/>
    <m:rMargin m:val="0"/>
    <m:defJc m:val="centerGroup"/>
    <m:wrapIndent m:val="1440"/>
    <m:intLim m:val="subSup"/>
    <m:naryLim m:val="undOvr"/>
  </m:mathPr>
  <w:themeFontLang w:val="el-G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FCA1"/>
  <w15:docId w15:val="{9D248EA5-9191-4287-BFB2-FF3E7C73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fr-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886"/>
      <w:jc w:val="both"/>
    </w:pPr>
    <w:rPr>
      <w:b/>
      <w:bCs/>
      <w:sz w:val="24"/>
      <w:szCs w:val="24"/>
    </w:rPr>
  </w:style>
  <w:style w:type="paragraph" w:styleId="a5">
    <w:name w:val="List Paragraph"/>
    <w:basedOn w:val="a"/>
    <w:uiPriority w:val="1"/>
    <w:qFormat/>
    <w:pPr>
      <w:spacing w:before="119"/>
      <w:ind w:left="1599" w:right="1699" w:hanging="360"/>
      <w:jc w:val="both"/>
    </w:pPr>
  </w:style>
  <w:style w:type="paragraph" w:customStyle="1" w:styleId="TableParagraph">
    <w:name w:val="Table Paragraph"/>
    <w:basedOn w:val="a"/>
    <w:uiPriority w:val="1"/>
    <w:qFormat/>
  </w:style>
  <w:style w:type="character" w:styleId="a6">
    <w:name w:val="Placeholder Text"/>
    <w:basedOn w:val="a0"/>
    <w:uiPriority w:val="99"/>
    <w:semiHidden/>
    <w:rsid w:val="002160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xation-customs.ec.europa.eu/system/files/2021-03/guidance_acceptable_goods_description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2996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AESCHLIMANN Tamara (TAXUD)</dc:creator>
  <cp:lastModifiedBy>ΑΙΚΑΤΕΡΙΝΗ ΣΙΝΗ</cp:lastModifiedBy>
  <cp:revision>6</cp:revision>
  <dcterms:created xsi:type="dcterms:W3CDTF">2024-12-13T13:26:00Z</dcterms:created>
  <dcterms:modified xsi:type="dcterms:W3CDTF">2024-12-13T13:29:00Z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PDF CoDe 5.2409.855.0 (c) 2002-2024 European Commission</vt:lpwstr>
  </property>
  <property fmtid="{D5CDD505-2E9C-101B-9397-08002B2CF9AE}" pid="4" name="LastSaved">
    <vt:filetime>2024-12-13T00:00:00Z</vt:filetime>
  </property>
</Properties>
</file>