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66F58269" w14:textId="77777777" w:rsidTr="009673D7">
        <w:tc>
          <w:tcPr>
            <w:tcW w:w="9640" w:type="dxa"/>
          </w:tcPr>
          <w:p w14:paraId="168AD40C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4924F212" wp14:editId="29677A8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8DCDE" w14:textId="3196A43E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0A5033">
        <w:rPr>
          <w:rFonts w:ascii="Franklin Gothic Medium" w:hAnsi="Franklin Gothic Medium"/>
        </w:rPr>
        <w:t>3</w:t>
      </w:r>
      <w:r w:rsidR="00832A59">
        <w:rPr>
          <w:rFonts w:ascii="Franklin Gothic Medium" w:hAnsi="Franklin Gothic Medium"/>
        </w:rPr>
        <w:t xml:space="preserve"> </w:t>
      </w:r>
      <w:r w:rsidR="000A5033">
        <w:rPr>
          <w:rFonts w:ascii="Franklin Gothic Medium" w:hAnsi="Franklin Gothic Medium"/>
        </w:rPr>
        <w:t>Ιουνίου</w:t>
      </w:r>
      <w:r w:rsidR="00832A59">
        <w:rPr>
          <w:rFonts w:ascii="Franklin Gothic Medium" w:hAnsi="Franklin Gothic Medium"/>
        </w:rPr>
        <w:t xml:space="preserve"> </w:t>
      </w:r>
      <w:r w:rsidRPr="00E33225">
        <w:rPr>
          <w:rFonts w:ascii="Franklin Gothic Medium" w:hAnsi="Franklin Gothic Medium"/>
        </w:rPr>
        <w:t>202</w:t>
      </w:r>
      <w:r w:rsidR="00832A59">
        <w:rPr>
          <w:rFonts w:ascii="Franklin Gothic Medium" w:hAnsi="Franklin Gothic Medium"/>
        </w:rPr>
        <w:t>5</w:t>
      </w:r>
    </w:p>
    <w:p w14:paraId="4A5E31F9" w14:textId="77777777" w:rsidR="00240859" w:rsidRDefault="00240859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1AB00B14" w14:textId="77777777" w:rsidR="00001F6B" w:rsidRPr="00697BB2" w:rsidRDefault="008C55EA" w:rsidP="00697BB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  <w:r w:rsidR="00C66CE6" w:rsidRPr="00C66CE6">
        <w:rPr>
          <w:rFonts w:ascii="Franklin Gothic Medium" w:hAnsi="Franklin Gothic Medium" w:cs="Franklin Gothic Medium"/>
          <w:color w:val="000000"/>
        </w:rPr>
        <w:t xml:space="preserve"> </w:t>
      </w:r>
    </w:p>
    <w:p w14:paraId="6EA5CE23" w14:textId="0091211B" w:rsidR="00697BB2" w:rsidRPr="0056633C" w:rsidRDefault="00697BB2" w:rsidP="00D730AB">
      <w:pPr>
        <w:pStyle w:val="aa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97BB2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0A5033" w:rsidRPr="000A5033">
        <w:rPr>
          <w:rFonts w:ascii="Franklin Gothic Medium" w:hAnsi="Franklin Gothic Medium"/>
          <w:b/>
          <w:bCs/>
          <w:sz w:val="28"/>
          <w:szCs w:val="28"/>
        </w:rPr>
        <w:t>Μειώνεται σε έως 5% η παρακράτηση στην ενημερότητα μεταβίβασης ακινήτου για χρέη σε αναστολή είσπραξης</w:t>
      </w:r>
    </w:p>
    <w:p w14:paraId="229BA725" w14:textId="4454FF9D" w:rsidR="000A5033" w:rsidRPr="000A5033" w:rsidRDefault="000A5033" w:rsidP="000A5033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A5033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Σημαντική μείωση στο ποσοστό παρακράτησης που επιβάλλεται κατά την έκδοση αποδεικτικού φορολογικής ενημερότητας για μεταβίβαση ακινήτου ή σύσταση εμπράγματου δικαιώματος με τίμημα, προβλέπει η νέα απόφαση του Διοικητή της Ανεξάρτητης Αρχής Δημοσίων Εσόδων, Γιώργου </w:t>
      </w:r>
      <w:proofErr w:type="spellStart"/>
      <w:r w:rsidRPr="000A5033">
        <w:rPr>
          <w:rFonts w:ascii="Franklin Gothic Medium" w:hAnsi="Franklin Gothic Medium" w:cs="Franklin Gothic Medium"/>
          <w:color w:val="000000"/>
          <w:sz w:val="24"/>
          <w:szCs w:val="24"/>
        </w:rPr>
        <w:t>Πιτσιλή</w:t>
      </w:r>
      <w:proofErr w:type="spellEnd"/>
      <w:r w:rsidRPr="000A5033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(Α.1072/2025).</w:t>
      </w:r>
    </w:p>
    <w:p w14:paraId="58658CEF" w14:textId="0BDEF7BD" w:rsidR="000A5033" w:rsidRPr="000A5033" w:rsidRDefault="000A5033" w:rsidP="000A5033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A5033">
        <w:rPr>
          <w:rFonts w:ascii="Franklin Gothic Medium" w:hAnsi="Franklin Gothic Medium" w:cs="Franklin Gothic Medium"/>
          <w:color w:val="000000"/>
          <w:sz w:val="24"/>
          <w:szCs w:val="24"/>
        </w:rPr>
        <w:t>Με την παραπάνω απόφαση, το ποσοστό παρακράτησης περιορίζεται στο 5% του τιμήματος, από 50% που ίσχυε μέχρι σήμερα για χρέη που τελούν σε αναστολή είσπραξης, εφόσον ο οφειλέτης προσφέρει επαρκή διασφάλιση για την εξόφληση του χρέους, μέσω εγγυήσεων ή εγγραφής υποθήκης σε άλλο ακίνητο.</w:t>
      </w:r>
    </w:p>
    <w:p w14:paraId="0BF5991A" w14:textId="03D2CF00" w:rsidR="000A5033" w:rsidRPr="000A5033" w:rsidRDefault="000A5033" w:rsidP="000A5033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A5033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Ειδικότερα, όταν υπάρχουν ληξιπρόθεσμες οφειλές με βασικό χρέος άνω των 50.000 ευρώ, που βρίσκονται σε αναστολή είσπραξης, είτε βάσει δικαστικής απόφασης είτε κατόπιν απόφασης της Διεύθυνσης Επίλυσης Διαφορών και ο οφειλέτης επιθυμεί να πουλήσει ακίνητό του, το ποσοστό παρακράτησης διαμορφώνεται στο 5% εφόσον ο φορολογούμενος παρέχει είτε εγγύηση είτε πρώτη υποθήκη σε άλλο ακίνητο ιδιοκτησίας του. Στην περίπτωση της υποθήκης, λαμβάνεται υπόψη για τη μείωση της παρακράτησης το 80% της αντικειμενικής αξίας του προσφερόμενου ακινήτου. </w:t>
      </w:r>
    </w:p>
    <w:p w14:paraId="69E206AE" w14:textId="67FF3304" w:rsidR="00E135C8" w:rsidRPr="00E97778" w:rsidRDefault="000A5033" w:rsidP="000A5033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0A5033">
        <w:rPr>
          <w:rFonts w:ascii="Franklin Gothic Medium" w:hAnsi="Franklin Gothic Medium" w:cs="Franklin Gothic Medium"/>
          <w:color w:val="000000"/>
          <w:sz w:val="24"/>
          <w:szCs w:val="24"/>
        </w:rPr>
        <w:t>Σε</w:t>
      </w:r>
      <w:bookmarkStart w:id="2" w:name="_GoBack"/>
      <w:bookmarkEnd w:id="2"/>
      <w:r w:rsidRPr="000A5033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περίπτωση που η αξία του ακίνητου δεν καλύπτει ολόκληρη τη μείωση της παρακράτησης από το 50% στο 5%, η παρακράτηση προσαρμόζεται στο αντίστοιχο ποσοστό.</w:t>
      </w:r>
      <w:bookmarkEnd w:id="1"/>
    </w:p>
    <w:sectPr w:rsidR="00E135C8" w:rsidRPr="00E97778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1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9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0"/>
  </w:num>
  <w:num w:numId="5">
    <w:abstractNumId w:val="8"/>
  </w:num>
  <w:num w:numId="6">
    <w:abstractNumId w:val="15"/>
  </w:num>
  <w:num w:numId="7">
    <w:abstractNumId w:val="18"/>
  </w:num>
  <w:num w:numId="8">
    <w:abstractNumId w:val="25"/>
  </w:num>
  <w:num w:numId="9">
    <w:abstractNumId w:val="14"/>
  </w:num>
  <w:num w:numId="10">
    <w:abstractNumId w:val="17"/>
  </w:num>
  <w:num w:numId="11">
    <w:abstractNumId w:val="13"/>
  </w:num>
  <w:num w:numId="12">
    <w:abstractNumId w:val="6"/>
  </w:num>
  <w:num w:numId="13">
    <w:abstractNumId w:val="6"/>
  </w:num>
  <w:num w:numId="14">
    <w:abstractNumId w:val="20"/>
  </w:num>
  <w:num w:numId="15">
    <w:abstractNumId w:val="2"/>
  </w:num>
  <w:num w:numId="16">
    <w:abstractNumId w:val="22"/>
  </w:num>
  <w:num w:numId="17">
    <w:abstractNumId w:val="1"/>
  </w:num>
  <w:num w:numId="18">
    <w:abstractNumId w:val="23"/>
  </w:num>
  <w:num w:numId="19">
    <w:abstractNumId w:val="9"/>
  </w:num>
  <w:num w:numId="20">
    <w:abstractNumId w:val="7"/>
  </w:num>
  <w:num w:numId="21">
    <w:abstractNumId w:val="0"/>
  </w:num>
  <w:num w:numId="22">
    <w:abstractNumId w:val="16"/>
  </w:num>
  <w:num w:numId="23">
    <w:abstractNumId w:val="19"/>
  </w:num>
  <w:num w:numId="24">
    <w:abstractNumId w:val="27"/>
  </w:num>
  <w:num w:numId="25">
    <w:abstractNumId w:val="3"/>
  </w:num>
  <w:num w:numId="26">
    <w:abstractNumId w:val="11"/>
  </w:num>
  <w:num w:numId="27">
    <w:abstractNumId w:val="26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3542C"/>
    <w:rsid w:val="000401FC"/>
    <w:rsid w:val="00040548"/>
    <w:rsid w:val="00046CBF"/>
    <w:rsid w:val="00062171"/>
    <w:rsid w:val="00075203"/>
    <w:rsid w:val="0007751F"/>
    <w:rsid w:val="000828BE"/>
    <w:rsid w:val="000971DD"/>
    <w:rsid w:val="000A5033"/>
    <w:rsid w:val="000A749B"/>
    <w:rsid w:val="000B2E52"/>
    <w:rsid w:val="000C2DD6"/>
    <w:rsid w:val="000D5D01"/>
    <w:rsid w:val="000E2E34"/>
    <w:rsid w:val="000E5CD3"/>
    <w:rsid w:val="000F544E"/>
    <w:rsid w:val="000F7D27"/>
    <w:rsid w:val="0011350C"/>
    <w:rsid w:val="001344E1"/>
    <w:rsid w:val="001379F6"/>
    <w:rsid w:val="001405D8"/>
    <w:rsid w:val="001555B0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C2BF8"/>
    <w:rsid w:val="001C4EFE"/>
    <w:rsid w:val="001F7F78"/>
    <w:rsid w:val="0021504F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E0A44"/>
    <w:rsid w:val="002F09C4"/>
    <w:rsid w:val="002F2A5D"/>
    <w:rsid w:val="00310B16"/>
    <w:rsid w:val="00354D87"/>
    <w:rsid w:val="003734A7"/>
    <w:rsid w:val="0037593A"/>
    <w:rsid w:val="00376595"/>
    <w:rsid w:val="00384E05"/>
    <w:rsid w:val="003877C5"/>
    <w:rsid w:val="003B272C"/>
    <w:rsid w:val="003C5C3D"/>
    <w:rsid w:val="003C7192"/>
    <w:rsid w:val="003E0541"/>
    <w:rsid w:val="003E24CF"/>
    <w:rsid w:val="003E2567"/>
    <w:rsid w:val="0040018D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96FC1"/>
    <w:rsid w:val="004A4F3A"/>
    <w:rsid w:val="004A77F9"/>
    <w:rsid w:val="004D6F2A"/>
    <w:rsid w:val="004E0AA9"/>
    <w:rsid w:val="004E391D"/>
    <w:rsid w:val="004F36B6"/>
    <w:rsid w:val="004F3C51"/>
    <w:rsid w:val="00530D58"/>
    <w:rsid w:val="0056377E"/>
    <w:rsid w:val="0056633C"/>
    <w:rsid w:val="00594B87"/>
    <w:rsid w:val="00595F67"/>
    <w:rsid w:val="005A2D63"/>
    <w:rsid w:val="005A5234"/>
    <w:rsid w:val="005B7017"/>
    <w:rsid w:val="005D7B84"/>
    <w:rsid w:val="005E0186"/>
    <w:rsid w:val="005E1215"/>
    <w:rsid w:val="00600B95"/>
    <w:rsid w:val="00606C7E"/>
    <w:rsid w:val="00626CB6"/>
    <w:rsid w:val="00634227"/>
    <w:rsid w:val="006406C9"/>
    <w:rsid w:val="00646CC7"/>
    <w:rsid w:val="00663307"/>
    <w:rsid w:val="00690D00"/>
    <w:rsid w:val="00694DC8"/>
    <w:rsid w:val="006968CE"/>
    <w:rsid w:val="00697BB2"/>
    <w:rsid w:val="006B0997"/>
    <w:rsid w:val="006B30AE"/>
    <w:rsid w:val="006D2B27"/>
    <w:rsid w:val="006F5D80"/>
    <w:rsid w:val="00704935"/>
    <w:rsid w:val="00710191"/>
    <w:rsid w:val="007127E7"/>
    <w:rsid w:val="00733B50"/>
    <w:rsid w:val="00737CC3"/>
    <w:rsid w:val="00746C7F"/>
    <w:rsid w:val="00767FA2"/>
    <w:rsid w:val="00774250"/>
    <w:rsid w:val="00792FA5"/>
    <w:rsid w:val="0079718F"/>
    <w:rsid w:val="00797EB6"/>
    <w:rsid w:val="007A07C5"/>
    <w:rsid w:val="007C29A3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46FE5"/>
    <w:rsid w:val="00850F44"/>
    <w:rsid w:val="00874F04"/>
    <w:rsid w:val="00880565"/>
    <w:rsid w:val="008853B6"/>
    <w:rsid w:val="008A5827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F5D5C"/>
    <w:rsid w:val="00902E7C"/>
    <w:rsid w:val="009137F1"/>
    <w:rsid w:val="00926B31"/>
    <w:rsid w:val="00943F71"/>
    <w:rsid w:val="00946BE2"/>
    <w:rsid w:val="0095696F"/>
    <w:rsid w:val="00957FBB"/>
    <w:rsid w:val="00974E83"/>
    <w:rsid w:val="009756ED"/>
    <w:rsid w:val="0098231F"/>
    <w:rsid w:val="00982C96"/>
    <w:rsid w:val="00992DE0"/>
    <w:rsid w:val="009A2B46"/>
    <w:rsid w:val="009B5A1A"/>
    <w:rsid w:val="009B7B32"/>
    <w:rsid w:val="009C231E"/>
    <w:rsid w:val="009D6F5D"/>
    <w:rsid w:val="00A11972"/>
    <w:rsid w:val="00A148D1"/>
    <w:rsid w:val="00A36EE6"/>
    <w:rsid w:val="00A41B7D"/>
    <w:rsid w:val="00A50739"/>
    <w:rsid w:val="00A55826"/>
    <w:rsid w:val="00A77E61"/>
    <w:rsid w:val="00A81FB0"/>
    <w:rsid w:val="00A84CDE"/>
    <w:rsid w:val="00A9677B"/>
    <w:rsid w:val="00AA683A"/>
    <w:rsid w:val="00AC54B2"/>
    <w:rsid w:val="00AD15C2"/>
    <w:rsid w:val="00AD2270"/>
    <w:rsid w:val="00AD7CE5"/>
    <w:rsid w:val="00AF41F4"/>
    <w:rsid w:val="00B013B6"/>
    <w:rsid w:val="00B05542"/>
    <w:rsid w:val="00B12574"/>
    <w:rsid w:val="00B32B1F"/>
    <w:rsid w:val="00B535C6"/>
    <w:rsid w:val="00B543F8"/>
    <w:rsid w:val="00B551E4"/>
    <w:rsid w:val="00BB4092"/>
    <w:rsid w:val="00BB4216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63BF"/>
    <w:rsid w:val="00C5356A"/>
    <w:rsid w:val="00C61F58"/>
    <w:rsid w:val="00C66CE6"/>
    <w:rsid w:val="00C67C57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80C"/>
    <w:rsid w:val="00CE4674"/>
    <w:rsid w:val="00D11F6E"/>
    <w:rsid w:val="00D13229"/>
    <w:rsid w:val="00D23D47"/>
    <w:rsid w:val="00D348DE"/>
    <w:rsid w:val="00D456EE"/>
    <w:rsid w:val="00D51DEA"/>
    <w:rsid w:val="00D53B66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2DCF"/>
    <w:rsid w:val="00DB0C45"/>
    <w:rsid w:val="00DB3851"/>
    <w:rsid w:val="00DE4BAE"/>
    <w:rsid w:val="00DF18F3"/>
    <w:rsid w:val="00E028B0"/>
    <w:rsid w:val="00E04DCA"/>
    <w:rsid w:val="00E135C8"/>
    <w:rsid w:val="00E3217E"/>
    <w:rsid w:val="00E33D5A"/>
    <w:rsid w:val="00E46C9D"/>
    <w:rsid w:val="00E71107"/>
    <w:rsid w:val="00E97778"/>
    <w:rsid w:val="00EA20BB"/>
    <w:rsid w:val="00EA4771"/>
    <w:rsid w:val="00EF2FE0"/>
    <w:rsid w:val="00EF52E0"/>
    <w:rsid w:val="00F02D1A"/>
    <w:rsid w:val="00F04910"/>
    <w:rsid w:val="00F258BD"/>
    <w:rsid w:val="00F25C29"/>
    <w:rsid w:val="00F34FD1"/>
    <w:rsid w:val="00F36A97"/>
    <w:rsid w:val="00F537F7"/>
    <w:rsid w:val="00F577B4"/>
    <w:rsid w:val="00F64F40"/>
    <w:rsid w:val="00F733C2"/>
    <w:rsid w:val="00F74214"/>
    <w:rsid w:val="00F91BD9"/>
    <w:rsid w:val="00F973F8"/>
    <w:rsid w:val="00FA3E6C"/>
    <w:rsid w:val="00FB306D"/>
    <w:rsid w:val="00FC1DFD"/>
    <w:rsid w:val="00FC6F48"/>
    <w:rsid w:val="00FD22B7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5731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semiHidden/>
    <w:unhideWhenUsed/>
    <w:rsid w:val="00C11A6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46B5-E98D-4A14-9760-F7AEE371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ΕΛΕΝΗ ΝΑΤΗ</cp:lastModifiedBy>
  <cp:revision>2</cp:revision>
  <cp:lastPrinted>2024-07-15T05:10:00Z</cp:lastPrinted>
  <dcterms:created xsi:type="dcterms:W3CDTF">2025-06-03T09:25:00Z</dcterms:created>
  <dcterms:modified xsi:type="dcterms:W3CDTF">2025-06-03T09:25:00Z</dcterms:modified>
</cp:coreProperties>
</file>