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D341A1" w14:paraId="213A25D9" w14:textId="77777777" w:rsidTr="009673D7">
        <w:tc>
          <w:tcPr>
            <w:tcW w:w="9640" w:type="dxa"/>
          </w:tcPr>
          <w:p w14:paraId="1C84799C" w14:textId="77777777" w:rsidR="008C55EA" w:rsidRPr="00D341A1" w:rsidRDefault="008C55EA" w:rsidP="00D341A1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790C9CC5" wp14:editId="73E7199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AB6F2" w14:textId="79679F70" w:rsidR="008C55EA" w:rsidRPr="00D341A1" w:rsidRDefault="008C55EA" w:rsidP="00D341A1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096667">
        <w:rPr>
          <w:rFonts w:ascii="Franklin Gothic Medium" w:hAnsi="Franklin Gothic Medium"/>
          <w:lang w:val="en-US"/>
        </w:rPr>
        <w:t>11</w:t>
      </w:r>
      <w:r w:rsidR="008A71F8" w:rsidRPr="001411EF">
        <w:rPr>
          <w:rFonts w:ascii="Franklin Gothic Medium" w:hAnsi="Franklin Gothic Medium"/>
        </w:rPr>
        <w:t xml:space="preserve"> Ιουλίου</w:t>
      </w:r>
      <w:r w:rsidR="00832A59" w:rsidRPr="00D341A1">
        <w:rPr>
          <w:rFonts w:ascii="Franklin Gothic Medium" w:hAnsi="Franklin Gothic Medium"/>
        </w:rPr>
        <w:t xml:space="preserve"> </w:t>
      </w:r>
      <w:r w:rsidRPr="00D341A1">
        <w:rPr>
          <w:rFonts w:ascii="Franklin Gothic Medium" w:hAnsi="Franklin Gothic Medium"/>
        </w:rPr>
        <w:t>202</w:t>
      </w:r>
      <w:r w:rsidR="00832A59" w:rsidRPr="00D341A1">
        <w:rPr>
          <w:rFonts w:ascii="Franklin Gothic Medium" w:hAnsi="Franklin Gothic Medium"/>
        </w:rPr>
        <w:t>5</w:t>
      </w:r>
    </w:p>
    <w:p w14:paraId="51D935D5" w14:textId="77777777" w:rsidR="00240859" w:rsidRPr="00D341A1" w:rsidRDefault="00240859" w:rsidP="00D341A1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4F31701" w14:textId="77777777" w:rsidR="00001F6B" w:rsidRPr="00D341A1" w:rsidRDefault="008C55EA" w:rsidP="00D341A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</w:p>
    <w:bookmarkEnd w:id="1"/>
    <w:p w14:paraId="65AA9BDF" w14:textId="6FD87F1D" w:rsidR="00665B5E" w:rsidRDefault="00322107" w:rsidP="001F6314">
      <w:pPr>
        <w:spacing w:before="240" w:after="240"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</w:pPr>
      <w:r w:rsidRPr="00322107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>ΑΑΔΕ</w:t>
      </w:r>
      <w:r w:rsidR="00096667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 xml:space="preserve"> –</w:t>
      </w:r>
      <w:r w:rsidRPr="00322107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 xml:space="preserve"> </w:t>
      </w:r>
      <w:r w:rsidR="00096667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 xml:space="preserve">Τελωνεία: </w:t>
      </w:r>
      <w:r w:rsidR="00096667" w:rsidRPr="00096667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>Σημαντική βελτίωση στη διευκόλυνση του εμπορίου καταγράφει έρευνα του ΟΗΕ</w:t>
      </w:r>
    </w:p>
    <w:p w14:paraId="37712B06" w14:textId="6C7691B4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>Σημαντική βελτίωση στη διευκόλυνση του εμπορίου έχει  επιτύχει η τελωνειακή διοίκηση της ΑΑΔΕ,</w:t>
      </w:r>
      <w:r w:rsidRPr="00096667">
        <w:rPr>
          <w:rFonts w:ascii="Franklin Gothic Book" w:hAnsi="Franklin Gothic Book"/>
          <w:bCs/>
        </w:rPr>
        <w:t xml:space="preserve"> </w:t>
      </w:r>
      <w:r w:rsidR="00290CAF" w:rsidRPr="00290CAF">
        <w:rPr>
          <w:rFonts w:ascii="Franklin Gothic Medium" w:hAnsi="Franklin Gothic Medium"/>
          <w:bCs/>
          <w:szCs w:val="28"/>
        </w:rPr>
        <w:t>με βάση</w:t>
      </w:r>
      <w:r w:rsidR="00290CAF">
        <w:rPr>
          <w:rFonts w:ascii="Franklin Gothic Book" w:hAnsi="Franklin Gothic Book"/>
          <w:bCs/>
        </w:rPr>
        <w:t xml:space="preserve"> </w:t>
      </w:r>
      <w:hyperlink r:id="rId7" w:history="1">
        <w:r w:rsidRPr="00096667">
          <w:rPr>
            <w:rStyle w:val="-"/>
            <w:rFonts w:ascii="Franklin Gothic Medium" w:hAnsi="Franklin Gothic Medium" w:cs="Arial"/>
          </w:rPr>
          <w:t>τα στοιχεία της παγκόσμιας έρευνας, που διεξάγει κάθε δύο χρόνια ο ΟΗΕ για την ψηφιακή και βιώσιμη διευκόλυνσ</w:t>
        </w:r>
        <w:r w:rsidRPr="00096667">
          <w:rPr>
            <w:rStyle w:val="-"/>
            <w:rFonts w:ascii="Franklin Gothic Medium" w:hAnsi="Franklin Gothic Medium" w:cs="Arial"/>
          </w:rPr>
          <w:t>η</w:t>
        </w:r>
        <w:r w:rsidRPr="00096667">
          <w:rPr>
            <w:rStyle w:val="-"/>
            <w:rFonts w:ascii="Franklin Gothic Medium" w:hAnsi="Franklin Gothic Medium" w:cs="Arial"/>
          </w:rPr>
          <w:t xml:space="preserve"> του εμπορίου. </w:t>
        </w:r>
      </w:hyperlink>
    </w:p>
    <w:p w14:paraId="22A557A8" w14:textId="6E890AE0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>Η Έρευνα αφορά 180 οικονομίες παγκοσμίως και 62 μέτρα ψηφιακής και βιώσιμης διευκόλυνσης του εμπορίου. Η συνεχής άνοδος της Ελλάδας επιβεβαιώνεται στα αποτελέσματα της φετινής χρονιάς, με βαθμολογία 72,2% – 87,5% στους βασικούς τομείς διευκόλυνσης του εμπορίου.</w:t>
      </w:r>
    </w:p>
    <w:p w14:paraId="57AEF8BB" w14:textId="1A7337A0" w:rsidR="00290CAF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 xml:space="preserve">Συγκριτικά, η Ελλάδα έχει αυξήσει σημαντικά τα ποσοστά της την τελευταία εξαετία, έχοντας – με βάση τα στοιχεία του ΟΗΕ -  επιτύχει πλήρη διαφάνεια και έχει σημειώσει σημαντικότατη πρόοδο στις διατυπώσεις και στο άυλο εμπόριο. </w:t>
      </w:r>
    </w:p>
    <w:p w14:paraId="16226D37" w14:textId="13B7DAEB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>•</w:t>
      </w:r>
      <w:r w:rsidRPr="00290CAF">
        <w:rPr>
          <w:rFonts w:ascii="Franklin Gothic Medium" w:hAnsi="Franklin Gothic Medium"/>
          <w:b/>
          <w:bCs/>
          <w:szCs w:val="28"/>
        </w:rPr>
        <w:t>Συνολική Βαθμολογία:</w:t>
      </w:r>
      <w:r w:rsidR="00290CAF">
        <w:rPr>
          <w:rFonts w:ascii="Franklin Gothic Medium" w:hAnsi="Franklin Gothic Medium"/>
          <w:bCs/>
          <w:szCs w:val="28"/>
        </w:rPr>
        <w:t xml:space="preserve"> </w:t>
      </w:r>
      <w:r w:rsidRPr="00096667">
        <w:rPr>
          <w:rFonts w:ascii="Franklin Gothic Medium" w:hAnsi="Franklin Gothic Medium"/>
          <w:bCs/>
          <w:szCs w:val="28"/>
        </w:rPr>
        <w:t>Από 62,4% το 2019, σε 77,4% το 2023 και σχεδόν 84% το 2025.</w:t>
      </w:r>
    </w:p>
    <w:p w14:paraId="41C49339" w14:textId="55ABDCB0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>•</w:t>
      </w:r>
      <w:r w:rsidRPr="00290CAF">
        <w:rPr>
          <w:rFonts w:ascii="Franklin Gothic Medium" w:hAnsi="Franklin Gothic Medium"/>
          <w:b/>
          <w:bCs/>
          <w:szCs w:val="28"/>
        </w:rPr>
        <w:t>Διαφάνεια:</w:t>
      </w:r>
      <w:r w:rsidR="00290CAF">
        <w:rPr>
          <w:rFonts w:ascii="Franklin Gothic Medium" w:hAnsi="Franklin Gothic Medium"/>
          <w:b/>
          <w:bCs/>
          <w:szCs w:val="28"/>
        </w:rPr>
        <w:t xml:space="preserve"> </w:t>
      </w:r>
      <w:r w:rsidRPr="00096667">
        <w:rPr>
          <w:rFonts w:ascii="Franklin Gothic Medium" w:hAnsi="Franklin Gothic Medium"/>
          <w:bCs/>
          <w:szCs w:val="28"/>
        </w:rPr>
        <w:t>Από 62,4% το 2019 σε 100% το 2023 και παραμένει σταθερή έκτοτε.</w:t>
      </w:r>
    </w:p>
    <w:p w14:paraId="2D50CD0C" w14:textId="49A5860B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>•</w:t>
      </w:r>
      <w:r w:rsidRPr="00290CAF">
        <w:rPr>
          <w:rFonts w:ascii="Franklin Gothic Medium" w:hAnsi="Franklin Gothic Medium"/>
          <w:b/>
          <w:bCs/>
          <w:szCs w:val="28"/>
        </w:rPr>
        <w:t>Διατυπώσεις:</w:t>
      </w:r>
      <w:r w:rsidR="00290CAF">
        <w:rPr>
          <w:rFonts w:ascii="Franklin Gothic Medium" w:hAnsi="Franklin Gothic Medium"/>
          <w:bCs/>
          <w:szCs w:val="28"/>
        </w:rPr>
        <w:t xml:space="preserve"> </w:t>
      </w:r>
      <w:r w:rsidRPr="00096667">
        <w:rPr>
          <w:rFonts w:ascii="Franklin Gothic Medium" w:hAnsi="Franklin Gothic Medium"/>
          <w:bCs/>
          <w:szCs w:val="28"/>
        </w:rPr>
        <w:t>Βελτιώθηκαν από 79,2% σε 87,5%, αντανακλώντας τον εκσυγχρονισμό των τελωνειακών διαδικασιών.</w:t>
      </w:r>
    </w:p>
    <w:p w14:paraId="0FD708F3" w14:textId="45F96C54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>•</w:t>
      </w:r>
      <w:r w:rsidRPr="00290CAF">
        <w:rPr>
          <w:rFonts w:ascii="Franklin Gothic Medium" w:hAnsi="Franklin Gothic Medium"/>
          <w:b/>
          <w:bCs/>
          <w:szCs w:val="28"/>
        </w:rPr>
        <w:t>Θεσμική Συνεργασία:</w:t>
      </w:r>
      <w:r w:rsidRPr="00096667">
        <w:rPr>
          <w:rFonts w:ascii="Franklin Gothic Medium" w:hAnsi="Franklin Gothic Medium"/>
          <w:bCs/>
          <w:szCs w:val="28"/>
        </w:rPr>
        <w:t xml:space="preserve"> Παραμένει σταθερή στο 77,8%.</w:t>
      </w:r>
    </w:p>
    <w:p w14:paraId="477EFF9C" w14:textId="0CBDB520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>•</w:t>
      </w:r>
      <w:r w:rsidRPr="00290CAF">
        <w:rPr>
          <w:rFonts w:ascii="Franklin Gothic Medium" w:hAnsi="Franklin Gothic Medium"/>
          <w:b/>
          <w:bCs/>
          <w:szCs w:val="28"/>
        </w:rPr>
        <w:t>Εμπόριο χωρίς χαρτί:</w:t>
      </w:r>
      <w:r w:rsidRPr="00096667">
        <w:rPr>
          <w:rFonts w:ascii="Franklin Gothic Medium" w:hAnsi="Franklin Gothic Medium"/>
          <w:bCs/>
          <w:szCs w:val="28"/>
        </w:rPr>
        <w:t xml:space="preserve"> Σχεδόν διπλασιάστηκε από 48,2% το 2019 σε 81,5%, αντανακλώντας την εκτεταμένη </w:t>
      </w:r>
      <w:proofErr w:type="spellStart"/>
      <w:r w:rsidRPr="00096667">
        <w:rPr>
          <w:rFonts w:ascii="Franklin Gothic Medium" w:hAnsi="Franklin Gothic Medium"/>
          <w:bCs/>
          <w:szCs w:val="28"/>
        </w:rPr>
        <w:t>ψηφιοποίηση</w:t>
      </w:r>
      <w:proofErr w:type="spellEnd"/>
      <w:r w:rsidRPr="00096667">
        <w:rPr>
          <w:rFonts w:ascii="Franklin Gothic Medium" w:hAnsi="Franklin Gothic Medium"/>
          <w:bCs/>
          <w:szCs w:val="28"/>
        </w:rPr>
        <w:t>.</w:t>
      </w:r>
    </w:p>
    <w:p w14:paraId="6E20D963" w14:textId="4B1DED4E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>•</w:t>
      </w:r>
      <w:r w:rsidRPr="00290CAF">
        <w:rPr>
          <w:rFonts w:ascii="Franklin Gothic Medium" w:hAnsi="Franklin Gothic Medium"/>
          <w:b/>
          <w:bCs/>
          <w:szCs w:val="28"/>
        </w:rPr>
        <w:t>Διασυνοριακό Εμπόριο χωρίς χαρτί:</w:t>
      </w:r>
      <w:r w:rsidRPr="00096667">
        <w:rPr>
          <w:rFonts w:ascii="Franklin Gothic Medium" w:hAnsi="Franklin Gothic Medium"/>
          <w:bCs/>
          <w:szCs w:val="28"/>
        </w:rPr>
        <w:t xml:space="preserve"> Αυξήθηκε ραγδαία από το 33,3% το 2019 και βελτιώθηκε στο 72,2% το 2025.</w:t>
      </w:r>
    </w:p>
    <w:p w14:paraId="7D40A35F" w14:textId="77777777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 xml:space="preserve">Στο Ηλεκτρονικό εμπόριο και το </w:t>
      </w:r>
      <w:proofErr w:type="spellStart"/>
      <w:r w:rsidRPr="00096667">
        <w:rPr>
          <w:rFonts w:ascii="Franklin Gothic Medium" w:hAnsi="Franklin Gothic Medium"/>
          <w:bCs/>
          <w:szCs w:val="28"/>
        </w:rPr>
        <w:t>paperless</w:t>
      </w:r>
      <w:proofErr w:type="spellEnd"/>
      <w:r w:rsidRPr="00096667">
        <w:rPr>
          <w:rFonts w:ascii="Franklin Gothic Medium" w:hAnsi="Franklin Gothic Medium"/>
          <w:bCs/>
          <w:szCs w:val="28"/>
        </w:rPr>
        <w:t xml:space="preserve"> διασυνοριακό εμπόριο, η Ελλάδα παρουσιάζει άριστες επιδόσεις στη νομοθεσία για ηλεκτρονικές συναλλαγές (100%) και την ηλεκτρονική ανταλλαγή Πιστοποιητικών Καταγωγής (100%). </w:t>
      </w:r>
    </w:p>
    <w:p w14:paraId="33C86FD2" w14:textId="77777777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 xml:space="preserve"> </w:t>
      </w:r>
    </w:p>
    <w:p w14:paraId="7DE3E01C" w14:textId="75360728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lastRenderedPageBreak/>
        <w:t xml:space="preserve">Συγκριτικά, χαμηλότερες είναι οι επιδόσεις (66,67%) σε τομείς επιτάχυνσης αποστολών, δημοσίευση μέσων χρόνων αποδέσμευσης, συνεργασίας σε θέματα διαμετακόμισης. </w:t>
      </w:r>
    </w:p>
    <w:p w14:paraId="3289F931" w14:textId="65850C9D" w:rsidR="00096667" w:rsidRPr="00096667" w:rsidRDefault="00096667" w:rsidP="00096667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096667">
        <w:rPr>
          <w:rFonts w:ascii="Franklin Gothic Medium" w:hAnsi="Franklin Gothic Medium"/>
          <w:bCs/>
          <w:szCs w:val="28"/>
        </w:rPr>
        <w:t xml:space="preserve">Πεδίο για βελτιωμένες επιδόσεις καταγράφεται στην άμεση απελευθέρωση για το ηλεκτρονικό εμπόριο και στη διαδικασία ανταλλαγής τελωνειακών διασαφήσεων.  </w:t>
      </w:r>
    </w:p>
    <w:p w14:paraId="51D4331A" w14:textId="6D8A41AC" w:rsidR="00400999" w:rsidRDefault="00096667" w:rsidP="001F6314">
      <w:pPr>
        <w:spacing w:before="120" w:after="120" w:line="276" w:lineRule="auto"/>
        <w:jc w:val="both"/>
        <w:rPr>
          <w:rFonts w:ascii="Franklin Gothic Medium" w:hAnsi="Franklin Gothic Medium"/>
        </w:rPr>
      </w:pPr>
      <w:r w:rsidRPr="00096667">
        <w:rPr>
          <w:rFonts w:ascii="Franklin Gothic Medium" w:hAnsi="Franklin Gothic Medium"/>
          <w:bCs/>
          <w:szCs w:val="28"/>
        </w:rPr>
        <w:t>Πολύ υψηλές είναι οι επιδόσεις σε κρίσιμους τομείς, που σχετίζονται με τη διευκόλυνση του εμπορίου ως προς τις διατυπώσεις και τη διαμετακόμιση, όπως διαχείριση ρίσκου, επεξεργασία δεδομένων προ-άφιξης, εκ των υστέρων έλεγχοι,  περιορισμός φυσικών ελέγχων.</w:t>
      </w:r>
    </w:p>
    <w:p w14:paraId="6C06438A" w14:textId="77777777" w:rsidR="00C954D3" w:rsidRDefault="00C954D3" w:rsidP="001F6314">
      <w:pPr>
        <w:spacing w:before="120" w:after="120" w:line="276" w:lineRule="auto"/>
        <w:jc w:val="both"/>
        <w:rPr>
          <w:rFonts w:ascii="Franklin Gothic Medium" w:hAnsi="Franklin Gothic Medium"/>
        </w:rPr>
      </w:pPr>
      <w:bookmarkStart w:id="2" w:name="_GoBack"/>
      <w:bookmarkEnd w:id="2"/>
    </w:p>
    <w:p w14:paraId="2076993A" w14:textId="0101C40B" w:rsidR="00096667" w:rsidRPr="001E4EBE" w:rsidRDefault="00096667" w:rsidP="001F6314">
      <w:pPr>
        <w:spacing w:before="120" w:after="120" w:line="276" w:lineRule="auto"/>
        <w:jc w:val="both"/>
        <w:rPr>
          <w:rFonts w:ascii="Franklin Gothic Medium" w:hAnsi="Franklin Gothic Medium"/>
        </w:rPr>
      </w:pPr>
      <w:r>
        <w:rPr>
          <w:noProof/>
        </w:rPr>
        <w:drawing>
          <wp:inline distT="0" distB="0" distL="0" distR="0" wp14:anchorId="17A934EB" wp14:editId="682C27DA">
            <wp:extent cx="5010150" cy="2790825"/>
            <wp:effectExtent l="0" t="0" r="0" b="9525"/>
            <wp:docPr id="2" name="Εικόνα 2" descr="Αρχείο εικόνας WhatsApp 2025-07-10 στις 23.07.46_eba84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 εικόνας WhatsApp 2025-07-10 στις 23.07.46_eba84cb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667" w:rsidRPr="001E4EBE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B8B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2EE3"/>
    <w:multiLevelType w:val="hybridMultilevel"/>
    <w:tmpl w:val="C9EE4BFE"/>
    <w:lvl w:ilvl="0" w:tplc="0408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B20"/>
    <w:multiLevelType w:val="hybridMultilevel"/>
    <w:tmpl w:val="80ACC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C0BBE"/>
    <w:multiLevelType w:val="hybridMultilevel"/>
    <w:tmpl w:val="59405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5" w15:restartNumberingAfterBreak="0">
    <w:nsid w:val="25A4315A"/>
    <w:multiLevelType w:val="hybridMultilevel"/>
    <w:tmpl w:val="1CF64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83263"/>
    <w:multiLevelType w:val="hybridMultilevel"/>
    <w:tmpl w:val="97B8D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D62D81"/>
    <w:multiLevelType w:val="hybridMultilevel"/>
    <w:tmpl w:val="CBC49D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9970669"/>
    <w:multiLevelType w:val="hybridMultilevel"/>
    <w:tmpl w:val="176E2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23746"/>
    <w:multiLevelType w:val="multilevel"/>
    <w:tmpl w:val="70746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D3018"/>
    <w:multiLevelType w:val="hybridMultilevel"/>
    <w:tmpl w:val="7376E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E6F2E93"/>
    <w:multiLevelType w:val="hybridMultilevel"/>
    <w:tmpl w:val="E09A2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F7E01"/>
    <w:multiLevelType w:val="hybridMultilevel"/>
    <w:tmpl w:val="88FCB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77393"/>
    <w:multiLevelType w:val="multilevel"/>
    <w:tmpl w:val="1D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AA6F2D"/>
    <w:multiLevelType w:val="multilevel"/>
    <w:tmpl w:val="C4C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64C8E"/>
    <w:multiLevelType w:val="hybridMultilevel"/>
    <w:tmpl w:val="53DEF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60E44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F3F4A"/>
    <w:multiLevelType w:val="hybridMultilevel"/>
    <w:tmpl w:val="9446A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526D0"/>
    <w:multiLevelType w:val="hybridMultilevel"/>
    <w:tmpl w:val="4FE46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1"/>
  </w:num>
  <w:num w:numId="3">
    <w:abstractNumId w:val="8"/>
  </w:num>
  <w:num w:numId="4">
    <w:abstractNumId w:val="14"/>
  </w:num>
  <w:num w:numId="5">
    <w:abstractNumId w:val="11"/>
  </w:num>
  <w:num w:numId="6">
    <w:abstractNumId w:val="25"/>
  </w:num>
  <w:num w:numId="7">
    <w:abstractNumId w:val="28"/>
  </w:num>
  <w:num w:numId="8">
    <w:abstractNumId w:val="42"/>
  </w:num>
  <w:num w:numId="9">
    <w:abstractNumId w:val="23"/>
  </w:num>
  <w:num w:numId="10">
    <w:abstractNumId w:val="27"/>
  </w:num>
  <w:num w:numId="11">
    <w:abstractNumId w:val="21"/>
  </w:num>
  <w:num w:numId="12">
    <w:abstractNumId w:val="9"/>
  </w:num>
  <w:num w:numId="13">
    <w:abstractNumId w:val="9"/>
  </w:num>
  <w:num w:numId="14">
    <w:abstractNumId w:val="34"/>
  </w:num>
  <w:num w:numId="15">
    <w:abstractNumId w:val="3"/>
  </w:num>
  <w:num w:numId="16">
    <w:abstractNumId w:val="38"/>
  </w:num>
  <w:num w:numId="17">
    <w:abstractNumId w:val="1"/>
  </w:num>
  <w:num w:numId="18">
    <w:abstractNumId w:val="40"/>
  </w:num>
  <w:num w:numId="19">
    <w:abstractNumId w:val="12"/>
  </w:num>
  <w:num w:numId="20">
    <w:abstractNumId w:val="10"/>
  </w:num>
  <w:num w:numId="21">
    <w:abstractNumId w:val="0"/>
  </w:num>
  <w:num w:numId="22">
    <w:abstractNumId w:val="26"/>
  </w:num>
  <w:num w:numId="23">
    <w:abstractNumId w:val="32"/>
  </w:num>
  <w:num w:numId="24">
    <w:abstractNumId w:val="45"/>
  </w:num>
  <w:num w:numId="25">
    <w:abstractNumId w:val="4"/>
  </w:num>
  <w:num w:numId="26">
    <w:abstractNumId w:val="17"/>
  </w:num>
  <w:num w:numId="27">
    <w:abstractNumId w:val="43"/>
  </w:num>
  <w:num w:numId="28">
    <w:abstractNumId w:val="6"/>
  </w:num>
  <w:num w:numId="29">
    <w:abstractNumId w:val="35"/>
  </w:num>
  <w:num w:numId="30">
    <w:abstractNumId w:val="5"/>
  </w:num>
  <w:num w:numId="31">
    <w:abstractNumId w:val="13"/>
  </w:num>
  <w:num w:numId="32">
    <w:abstractNumId w:val="36"/>
  </w:num>
  <w:num w:numId="33">
    <w:abstractNumId w:val="29"/>
  </w:num>
  <w:num w:numId="34">
    <w:abstractNumId w:val="44"/>
  </w:num>
  <w:num w:numId="35">
    <w:abstractNumId w:val="22"/>
  </w:num>
  <w:num w:numId="36">
    <w:abstractNumId w:val="33"/>
  </w:num>
  <w:num w:numId="37">
    <w:abstractNumId w:val="31"/>
  </w:num>
  <w:num w:numId="38">
    <w:abstractNumId w:val="24"/>
  </w:num>
  <w:num w:numId="39">
    <w:abstractNumId w:val="2"/>
  </w:num>
  <w:num w:numId="40">
    <w:abstractNumId w:val="37"/>
  </w:num>
  <w:num w:numId="41">
    <w:abstractNumId w:val="7"/>
  </w:num>
  <w:num w:numId="42">
    <w:abstractNumId w:val="16"/>
  </w:num>
  <w:num w:numId="43">
    <w:abstractNumId w:val="18"/>
  </w:num>
  <w:num w:numId="44">
    <w:abstractNumId w:val="19"/>
  </w:num>
  <w:num w:numId="45">
    <w:abstractNumId w:val="39"/>
  </w:num>
  <w:num w:numId="46">
    <w:abstractNumId w:val="3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157E8"/>
    <w:rsid w:val="0002049A"/>
    <w:rsid w:val="0003542C"/>
    <w:rsid w:val="000371C4"/>
    <w:rsid w:val="000401FC"/>
    <w:rsid w:val="00040548"/>
    <w:rsid w:val="00046CBF"/>
    <w:rsid w:val="00053926"/>
    <w:rsid w:val="00062171"/>
    <w:rsid w:val="00075203"/>
    <w:rsid w:val="0007751F"/>
    <w:rsid w:val="000828BE"/>
    <w:rsid w:val="00096667"/>
    <w:rsid w:val="000971DD"/>
    <w:rsid w:val="000A749B"/>
    <w:rsid w:val="000B251A"/>
    <w:rsid w:val="000B2E52"/>
    <w:rsid w:val="000C2DD6"/>
    <w:rsid w:val="000D5D01"/>
    <w:rsid w:val="000E2E34"/>
    <w:rsid w:val="000E5CD3"/>
    <w:rsid w:val="000F544E"/>
    <w:rsid w:val="000F7D27"/>
    <w:rsid w:val="001045E5"/>
    <w:rsid w:val="0011350C"/>
    <w:rsid w:val="00117F2E"/>
    <w:rsid w:val="001215C3"/>
    <w:rsid w:val="00134118"/>
    <w:rsid w:val="001344E1"/>
    <w:rsid w:val="001379F6"/>
    <w:rsid w:val="001405D8"/>
    <w:rsid w:val="001411EF"/>
    <w:rsid w:val="001555B0"/>
    <w:rsid w:val="001678D1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A7135"/>
    <w:rsid w:val="001A7BDC"/>
    <w:rsid w:val="001C2BF8"/>
    <w:rsid w:val="001C4EFE"/>
    <w:rsid w:val="001E4EBE"/>
    <w:rsid w:val="001F6314"/>
    <w:rsid w:val="001F7F78"/>
    <w:rsid w:val="0021504F"/>
    <w:rsid w:val="00220DCD"/>
    <w:rsid w:val="00231BC9"/>
    <w:rsid w:val="00231E08"/>
    <w:rsid w:val="00240859"/>
    <w:rsid w:val="0024189F"/>
    <w:rsid w:val="00247A38"/>
    <w:rsid w:val="002502ED"/>
    <w:rsid w:val="00253AC0"/>
    <w:rsid w:val="00290CAF"/>
    <w:rsid w:val="002A3BE0"/>
    <w:rsid w:val="002A4B40"/>
    <w:rsid w:val="002A7AFC"/>
    <w:rsid w:val="002B0D26"/>
    <w:rsid w:val="002B117A"/>
    <w:rsid w:val="002C61C7"/>
    <w:rsid w:val="002C6877"/>
    <w:rsid w:val="002D270F"/>
    <w:rsid w:val="002E0A44"/>
    <w:rsid w:val="002F09C4"/>
    <w:rsid w:val="002F2A5D"/>
    <w:rsid w:val="002F4061"/>
    <w:rsid w:val="00310713"/>
    <w:rsid w:val="00310B16"/>
    <w:rsid w:val="00322107"/>
    <w:rsid w:val="00341728"/>
    <w:rsid w:val="003506B3"/>
    <w:rsid w:val="00354D87"/>
    <w:rsid w:val="00357222"/>
    <w:rsid w:val="0036353D"/>
    <w:rsid w:val="003734A7"/>
    <w:rsid w:val="0037593A"/>
    <w:rsid w:val="00376595"/>
    <w:rsid w:val="00384E05"/>
    <w:rsid w:val="003877C5"/>
    <w:rsid w:val="003A2A2A"/>
    <w:rsid w:val="003B272C"/>
    <w:rsid w:val="003C027F"/>
    <w:rsid w:val="003C56C3"/>
    <w:rsid w:val="003C5C3D"/>
    <w:rsid w:val="003C7192"/>
    <w:rsid w:val="003D2C35"/>
    <w:rsid w:val="003E0541"/>
    <w:rsid w:val="003E24CF"/>
    <w:rsid w:val="003E2567"/>
    <w:rsid w:val="0040018D"/>
    <w:rsid w:val="00400999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C1D8F"/>
    <w:rsid w:val="004D6F2A"/>
    <w:rsid w:val="004E0AA9"/>
    <w:rsid w:val="004E391D"/>
    <w:rsid w:val="004F36B6"/>
    <w:rsid w:val="004F3C51"/>
    <w:rsid w:val="00530D58"/>
    <w:rsid w:val="0056377E"/>
    <w:rsid w:val="00594B87"/>
    <w:rsid w:val="00595F67"/>
    <w:rsid w:val="005A2D63"/>
    <w:rsid w:val="005A5234"/>
    <w:rsid w:val="005B7017"/>
    <w:rsid w:val="005D4424"/>
    <w:rsid w:val="005D7B84"/>
    <w:rsid w:val="005E0186"/>
    <w:rsid w:val="005E1215"/>
    <w:rsid w:val="00600B95"/>
    <w:rsid w:val="00606C7E"/>
    <w:rsid w:val="00613667"/>
    <w:rsid w:val="00626CB6"/>
    <w:rsid w:val="00630887"/>
    <w:rsid w:val="00634227"/>
    <w:rsid w:val="006406C9"/>
    <w:rsid w:val="00646CC7"/>
    <w:rsid w:val="00651C3C"/>
    <w:rsid w:val="00663307"/>
    <w:rsid w:val="00665B5E"/>
    <w:rsid w:val="00690D00"/>
    <w:rsid w:val="00694DC8"/>
    <w:rsid w:val="006968CE"/>
    <w:rsid w:val="00697BB2"/>
    <w:rsid w:val="006B0997"/>
    <w:rsid w:val="006B30AE"/>
    <w:rsid w:val="006D2B27"/>
    <w:rsid w:val="006E3F37"/>
    <w:rsid w:val="006F5D80"/>
    <w:rsid w:val="00704935"/>
    <w:rsid w:val="00710191"/>
    <w:rsid w:val="007127E7"/>
    <w:rsid w:val="00733B50"/>
    <w:rsid w:val="00737CC3"/>
    <w:rsid w:val="00746C7F"/>
    <w:rsid w:val="00755CB7"/>
    <w:rsid w:val="00767FA2"/>
    <w:rsid w:val="00774250"/>
    <w:rsid w:val="007917AC"/>
    <w:rsid w:val="00792FA5"/>
    <w:rsid w:val="0079718F"/>
    <w:rsid w:val="007A07C5"/>
    <w:rsid w:val="007C29A3"/>
    <w:rsid w:val="007D1F9A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A5827"/>
    <w:rsid w:val="008A71F8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E74DD"/>
    <w:rsid w:val="008F4DCA"/>
    <w:rsid w:val="008F5D5C"/>
    <w:rsid w:val="00910492"/>
    <w:rsid w:val="009137F1"/>
    <w:rsid w:val="00926B31"/>
    <w:rsid w:val="00943F71"/>
    <w:rsid w:val="00946BE2"/>
    <w:rsid w:val="0095696F"/>
    <w:rsid w:val="00957AB9"/>
    <w:rsid w:val="00957FBB"/>
    <w:rsid w:val="00973C1E"/>
    <w:rsid w:val="00974E83"/>
    <w:rsid w:val="009756ED"/>
    <w:rsid w:val="00981997"/>
    <w:rsid w:val="0098231F"/>
    <w:rsid w:val="00982C96"/>
    <w:rsid w:val="00983846"/>
    <w:rsid w:val="00990FA1"/>
    <w:rsid w:val="00992DE0"/>
    <w:rsid w:val="00997515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C16"/>
    <w:rsid w:val="00A77E61"/>
    <w:rsid w:val="00A81FB0"/>
    <w:rsid w:val="00A84CDE"/>
    <w:rsid w:val="00A9677B"/>
    <w:rsid w:val="00AA683A"/>
    <w:rsid w:val="00AC54B2"/>
    <w:rsid w:val="00AD17D5"/>
    <w:rsid w:val="00AD2270"/>
    <w:rsid w:val="00AD7CE5"/>
    <w:rsid w:val="00AE3A4C"/>
    <w:rsid w:val="00AF41F4"/>
    <w:rsid w:val="00B013B6"/>
    <w:rsid w:val="00B05542"/>
    <w:rsid w:val="00B12574"/>
    <w:rsid w:val="00B32B1F"/>
    <w:rsid w:val="00B45EC6"/>
    <w:rsid w:val="00B518FB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954D3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035"/>
    <w:rsid w:val="00CE180C"/>
    <w:rsid w:val="00CE4674"/>
    <w:rsid w:val="00D00234"/>
    <w:rsid w:val="00D10679"/>
    <w:rsid w:val="00D11F6E"/>
    <w:rsid w:val="00D13229"/>
    <w:rsid w:val="00D23D47"/>
    <w:rsid w:val="00D341A1"/>
    <w:rsid w:val="00D348DE"/>
    <w:rsid w:val="00D456EE"/>
    <w:rsid w:val="00D51DEA"/>
    <w:rsid w:val="00D53B66"/>
    <w:rsid w:val="00D631A0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1FE5"/>
    <w:rsid w:val="00DA2DCF"/>
    <w:rsid w:val="00DA7638"/>
    <w:rsid w:val="00DB0C45"/>
    <w:rsid w:val="00DB3851"/>
    <w:rsid w:val="00DE4BAE"/>
    <w:rsid w:val="00DF18F3"/>
    <w:rsid w:val="00E028B0"/>
    <w:rsid w:val="00E04DCA"/>
    <w:rsid w:val="00E135C8"/>
    <w:rsid w:val="00E20965"/>
    <w:rsid w:val="00E3217E"/>
    <w:rsid w:val="00E33D5A"/>
    <w:rsid w:val="00E42621"/>
    <w:rsid w:val="00E46C9D"/>
    <w:rsid w:val="00E6757D"/>
    <w:rsid w:val="00E71031"/>
    <w:rsid w:val="00E71107"/>
    <w:rsid w:val="00E95AAF"/>
    <w:rsid w:val="00E97778"/>
    <w:rsid w:val="00EA20BB"/>
    <w:rsid w:val="00EA4771"/>
    <w:rsid w:val="00EC0418"/>
    <w:rsid w:val="00ED7DDE"/>
    <w:rsid w:val="00EE4AAC"/>
    <w:rsid w:val="00EF2FE0"/>
    <w:rsid w:val="00EF52E0"/>
    <w:rsid w:val="00F02D1A"/>
    <w:rsid w:val="00F04910"/>
    <w:rsid w:val="00F258BD"/>
    <w:rsid w:val="00F25C29"/>
    <w:rsid w:val="00F2790E"/>
    <w:rsid w:val="00F33104"/>
    <w:rsid w:val="00F34FD1"/>
    <w:rsid w:val="00F36A97"/>
    <w:rsid w:val="00F537F7"/>
    <w:rsid w:val="00F577B4"/>
    <w:rsid w:val="00F64F40"/>
    <w:rsid w:val="00F733C2"/>
    <w:rsid w:val="00F74214"/>
    <w:rsid w:val="00F91BD9"/>
    <w:rsid w:val="00F9563A"/>
    <w:rsid w:val="00F973F8"/>
    <w:rsid w:val="00FA3E6C"/>
    <w:rsid w:val="00FB0A44"/>
    <w:rsid w:val="00FB306D"/>
    <w:rsid w:val="00FC1DFD"/>
    <w:rsid w:val="00FC2B20"/>
    <w:rsid w:val="00FC6F48"/>
    <w:rsid w:val="00FD22B7"/>
    <w:rsid w:val="00FE58E5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8565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E95A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4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unhideWhenUsed/>
    <w:rsid w:val="00C11A69"/>
    <w:pPr>
      <w:spacing w:before="100" w:beforeAutospacing="1" w:after="100" w:afterAutospacing="1"/>
    </w:pPr>
    <w:rPr>
      <w:rFonts w:eastAsia="Times New Roman"/>
    </w:rPr>
  </w:style>
  <w:style w:type="character" w:customStyle="1" w:styleId="3Char">
    <w:name w:val="Επικεφαλίδα 3 Char"/>
    <w:basedOn w:val="a0"/>
    <w:link w:val="3"/>
    <w:uiPriority w:val="9"/>
    <w:rsid w:val="00E95A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C041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9666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90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untfsurvey.org/economy?id=GR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i_mcxx5w5d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9BD5-A61F-4415-B736-22050BE8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ΔΕΠΙΚ</cp:lastModifiedBy>
  <cp:revision>2</cp:revision>
  <cp:lastPrinted>2024-07-15T05:10:00Z</cp:lastPrinted>
  <dcterms:created xsi:type="dcterms:W3CDTF">2025-07-11T06:31:00Z</dcterms:created>
  <dcterms:modified xsi:type="dcterms:W3CDTF">2025-07-11T06:31:00Z</dcterms:modified>
</cp:coreProperties>
</file>