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AF44BF" w:rsidRPr="00AF44BF" w14:paraId="487430C0" w14:textId="77777777" w:rsidTr="00663632">
        <w:tc>
          <w:tcPr>
            <w:tcW w:w="9640" w:type="dxa"/>
          </w:tcPr>
          <w:p w14:paraId="7BF6DC73" w14:textId="77777777" w:rsidR="00AF44BF" w:rsidRPr="00AF44BF" w:rsidRDefault="00DD480F" w:rsidP="00CF6F1C">
            <w:pPr>
              <w:spacing w:line="276" w:lineRule="auto"/>
              <w:jc w:val="both"/>
              <w:rPr>
                <w:rFonts w:ascii="Franklin Gothic Medium" w:hAnsi="Franklin Gothic Medium"/>
                <w:color w:val="1F3864"/>
                <w:sz w:val="24"/>
                <w:szCs w:val="24"/>
              </w:rPr>
            </w:pPr>
            <w:r>
              <w:rPr>
                <w:rFonts w:ascii="Franklin Gothic Medium" w:hAnsi="Franklin Gothic Medium"/>
                <w:color w:val="1F3864"/>
                <w:sz w:val="24"/>
                <w:szCs w:val="24"/>
              </w:rPr>
              <w:t xml:space="preserve"> </w:t>
            </w:r>
            <w:r w:rsidR="00AF44BF" w:rsidRPr="00AF44BF">
              <w:rPr>
                <w:rFonts w:ascii="Franklin Gothic Medium" w:hAnsi="Franklin Gothic Medium"/>
                <w:noProof/>
                <w:sz w:val="24"/>
                <w:szCs w:val="24"/>
                <w:lang w:eastAsia="el-GR"/>
              </w:rPr>
              <w:drawing>
                <wp:inline distT="0" distB="0" distL="0" distR="0" wp14:anchorId="5408E8E1" wp14:editId="74DAE543">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2C7F01CE" w14:textId="7693C9AC" w:rsidR="00AF44BF" w:rsidRPr="00AF44BF" w:rsidRDefault="00AF44BF" w:rsidP="00CF6F1C">
      <w:pPr>
        <w:spacing w:line="276" w:lineRule="auto"/>
        <w:jc w:val="right"/>
        <w:rPr>
          <w:rFonts w:ascii="Franklin Gothic Medium" w:hAnsi="Franklin Gothic Medium"/>
          <w:b/>
          <w:sz w:val="24"/>
          <w:szCs w:val="24"/>
        </w:rPr>
      </w:pPr>
      <w:r w:rsidRPr="00AF44BF">
        <w:rPr>
          <w:rFonts w:ascii="Franklin Gothic Medium" w:hAnsi="Franklin Gothic Medium"/>
          <w:sz w:val="24"/>
          <w:szCs w:val="24"/>
        </w:rPr>
        <w:t xml:space="preserve"> </w:t>
      </w:r>
      <w:r w:rsidRPr="00066C94">
        <w:rPr>
          <w:rFonts w:ascii="Franklin Gothic Medium" w:hAnsi="Franklin Gothic Medium"/>
          <w:sz w:val="24"/>
          <w:szCs w:val="24"/>
        </w:rPr>
        <w:t xml:space="preserve">Αθήνα, </w:t>
      </w:r>
      <w:r w:rsidR="00EC5DFC">
        <w:rPr>
          <w:rFonts w:ascii="Franklin Gothic Medium" w:hAnsi="Franklin Gothic Medium"/>
          <w:sz w:val="24"/>
          <w:szCs w:val="24"/>
        </w:rPr>
        <w:t>17</w:t>
      </w:r>
      <w:r w:rsidR="000670A5" w:rsidRPr="00066C94">
        <w:rPr>
          <w:rFonts w:ascii="Franklin Gothic Medium" w:hAnsi="Franklin Gothic Medium"/>
          <w:sz w:val="24"/>
          <w:szCs w:val="24"/>
        </w:rPr>
        <w:t xml:space="preserve"> </w:t>
      </w:r>
      <w:r w:rsidR="00EC5DFC">
        <w:rPr>
          <w:rFonts w:ascii="Franklin Gothic Medium" w:hAnsi="Franklin Gothic Medium"/>
          <w:sz w:val="24"/>
          <w:szCs w:val="24"/>
        </w:rPr>
        <w:t>Νοεμβρίου</w:t>
      </w:r>
      <w:r w:rsidRPr="00066C94">
        <w:rPr>
          <w:rFonts w:ascii="Franklin Gothic Medium" w:hAnsi="Franklin Gothic Medium"/>
          <w:sz w:val="24"/>
          <w:szCs w:val="24"/>
        </w:rPr>
        <w:t xml:space="preserve"> 202</w:t>
      </w:r>
      <w:r w:rsidR="004641BB" w:rsidRPr="00066C94">
        <w:rPr>
          <w:rFonts w:ascii="Franklin Gothic Medium" w:hAnsi="Franklin Gothic Medium"/>
          <w:sz w:val="24"/>
          <w:szCs w:val="24"/>
        </w:rPr>
        <w:t>5</w:t>
      </w:r>
    </w:p>
    <w:p w14:paraId="1F74FD53" w14:textId="77777777" w:rsidR="00AF44BF" w:rsidRPr="00AF44BF" w:rsidRDefault="00AF44BF" w:rsidP="00CF6F1C">
      <w:pPr>
        <w:spacing w:line="276" w:lineRule="auto"/>
        <w:jc w:val="both"/>
        <w:rPr>
          <w:rFonts w:ascii="Franklin Gothic Medium" w:hAnsi="Franklin Gothic Medium"/>
          <w:b/>
          <w:sz w:val="28"/>
          <w:szCs w:val="28"/>
        </w:rPr>
      </w:pPr>
    </w:p>
    <w:p w14:paraId="6627298C" w14:textId="77777777" w:rsidR="00AF44BF" w:rsidRPr="00AF44BF" w:rsidRDefault="00AF44BF" w:rsidP="00CF6F1C">
      <w:pPr>
        <w:spacing w:after="240" w:line="276" w:lineRule="auto"/>
        <w:jc w:val="center"/>
        <w:rPr>
          <w:rFonts w:ascii="Franklin Gothic Medium" w:hAnsi="Franklin Gothic Medium"/>
          <w:b/>
          <w:bCs/>
          <w:sz w:val="28"/>
          <w:szCs w:val="28"/>
        </w:rPr>
      </w:pPr>
      <w:r w:rsidRPr="00AF44BF">
        <w:rPr>
          <w:rFonts w:ascii="Franklin Gothic Medium" w:hAnsi="Franklin Gothic Medium"/>
          <w:b/>
          <w:bCs/>
          <w:sz w:val="28"/>
          <w:szCs w:val="28"/>
        </w:rPr>
        <w:t>ΔΕΛΤΙΟ ΤΥΠΟΥ</w:t>
      </w:r>
    </w:p>
    <w:p w14:paraId="56F043EB" w14:textId="25EC9098" w:rsidR="00C53011" w:rsidRDefault="00C53011" w:rsidP="00DE3C4B">
      <w:pPr>
        <w:spacing w:before="120" w:after="240" w:line="276" w:lineRule="auto"/>
        <w:jc w:val="center"/>
        <w:rPr>
          <w:rFonts w:ascii="Franklin Gothic Medium" w:hAnsi="Franklin Gothic Medium" w:cstheme="minorBidi"/>
          <w:b/>
          <w:bCs/>
          <w:sz w:val="28"/>
          <w:szCs w:val="28"/>
        </w:rPr>
      </w:pPr>
      <w:r w:rsidRPr="00C53011">
        <w:rPr>
          <w:rFonts w:ascii="Franklin Gothic Medium" w:hAnsi="Franklin Gothic Medium" w:cstheme="minorBidi"/>
          <w:b/>
          <w:bCs/>
          <w:sz w:val="28"/>
          <w:szCs w:val="28"/>
        </w:rPr>
        <w:t xml:space="preserve">ΑΑΔΕ: </w:t>
      </w:r>
      <w:r w:rsidR="00EC5DFC" w:rsidRPr="00EC5DFC">
        <w:rPr>
          <w:rFonts w:ascii="Franklin Gothic Medium" w:hAnsi="Franklin Gothic Medium" w:cstheme="minorBidi"/>
          <w:b/>
          <w:bCs/>
          <w:sz w:val="28"/>
          <w:szCs w:val="28"/>
        </w:rPr>
        <w:t>Από 24/11/2025 το νέο Τελωνείο Δυτικής Αττικής - Ενοποιούνται Τελωνεία Ελευσίνας και Αθηνών</w:t>
      </w:r>
    </w:p>
    <w:p w14:paraId="3C5F69E7" w14:textId="77777777" w:rsidR="00EC5DFC" w:rsidRPr="00EC5DFC" w:rsidRDefault="00EC5DFC" w:rsidP="00EC5DFC">
      <w:pPr>
        <w:pStyle w:val="a5"/>
        <w:spacing w:after="120" w:line="276" w:lineRule="auto"/>
        <w:jc w:val="both"/>
        <w:rPr>
          <w:rFonts w:ascii="Franklin Gothic Medium" w:hAnsi="Franklin Gothic Medium"/>
          <w:bCs/>
          <w:sz w:val="24"/>
          <w:szCs w:val="28"/>
        </w:rPr>
      </w:pPr>
      <w:r w:rsidRPr="00EC5DFC">
        <w:rPr>
          <w:rFonts w:ascii="Franklin Gothic Medium" w:hAnsi="Franklin Gothic Medium"/>
          <w:bCs/>
          <w:sz w:val="24"/>
          <w:szCs w:val="28"/>
        </w:rPr>
        <w:t xml:space="preserve">Στη σύσταση του Τελωνείου Δυτικής Αττικής προχωρά η Ανεξάρτητη Αρχή Δημοσίων Εσόδων, ενοποιώντας τις λειτουργίες των Τελωνείων Ελευσίνας και Αθηνών, με απόφαση του Διοικητή, Γιώργου </w:t>
      </w:r>
      <w:proofErr w:type="spellStart"/>
      <w:r w:rsidRPr="00EC5DFC">
        <w:rPr>
          <w:rFonts w:ascii="Franklin Gothic Medium" w:hAnsi="Franklin Gothic Medium"/>
          <w:bCs/>
          <w:sz w:val="24"/>
          <w:szCs w:val="28"/>
        </w:rPr>
        <w:t>Πιτσιλή</w:t>
      </w:r>
      <w:proofErr w:type="spellEnd"/>
      <w:r w:rsidRPr="00EC5DFC">
        <w:rPr>
          <w:rFonts w:ascii="Franklin Gothic Medium" w:hAnsi="Franklin Gothic Medium"/>
          <w:bCs/>
          <w:sz w:val="24"/>
          <w:szCs w:val="28"/>
        </w:rPr>
        <w:t>.</w:t>
      </w:r>
    </w:p>
    <w:p w14:paraId="375ADACF" w14:textId="77777777" w:rsidR="00EC5DFC" w:rsidRPr="00EC5DFC" w:rsidRDefault="00EC5DFC" w:rsidP="00EC5DFC">
      <w:pPr>
        <w:pStyle w:val="a5"/>
        <w:spacing w:after="120" w:line="276" w:lineRule="auto"/>
        <w:jc w:val="both"/>
        <w:rPr>
          <w:rFonts w:ascii="Franklin Gothic Medium" w:hAnsi="Franklin Gothic Medium"/>
          <w:bCs/>
          <w:sz w:val="24"/>
          <w:szCs w:val="28"/>
        </w:rPr>
      </w:pPr>
      <w:r w:rsidRPr="00EC5DFC">
        <w:rPr>
          <w:rFonts w:ascii="Franklin Gothic Medium" w:hAnsi="Franklin Gothic Medium"/>
          <w:bCs/>
          <w:sz w:val="24"/>
          <w:szCs w:val="28"/>
        </w:rPr>
        <w:t>Η νέα, ενισχυμένη τελωνειακή δομή τίθεται σε πλήρη επιχειρησιακή λειτουργία από τις 24 Νοεμβρίου 2025, προσφέροντας πιο ολοκληρωμένες υπηρεσίες και καλύτερο συντονισμό σε όλες τις διαδικασίες που σχετίζονται με το νόμιμο εμπόριο, την ασφάλεια των προϊόντων και τη διασφάλιση των δημοσιονομικών συμφερόντων της χώρας και της ΕΕ.</w:t>
      </w:r>
    </w:p>
    <w:p w14:paraId="2DE38CD9" w14:textId="77777777" w:rsidR="00EC5DFC" w:rsidRPr="00EC5DFC" w:rsidRDefault="00EC5DFC" w:rsidP="00EC5DFC">
      <w:pPr>
        <w:pStyle w:val="a5"/>
        <w:spacing w:after="120" w:line="276" w:lineRule="auto"/>
        <w:jc w:val="both"/>
        <w:rPr>
          <w:rFonts w:ascii="Franklin Gothic Medium" w:hAnsi="Franklin Gothic Medium"/>
          <w:bCs/>
          <w:sz w:val="24"/>
          <w:szCs w:val="28"/>
        </w:rPr>
      </w:pPr>
      <w:r w:rsidRPr="00EC5DFC">
        <w:rPr>
          <w:rFonts w:ascii="Franklin Gothic Medium" w:hAnsi="Franklin Gothic Medium"/>
          <w:bCs/>
          <w:sz w:val="24"/>
          <w:szCs w:val="28"/>
        </w:rPr>
        <w:t>Το Τελωνείο Δυτικής Αττικής αναλαμβάνει την εξυπηρέτηση των εμπορευματικών ροών και συναλλαγών που μέχρι σήμερα διαχειρίζονταν τα δύο Τελωνεία, διατηρεί τη χωρική τους αρμοδιότητα και ενισχύει σημαντικά την παρακολούθηση των αποθηκών στην ευρύτερη Περιφέρεια Αττικής. Παράλληλα, διαμορφώνει ένα πιο σύγχρονο και αποδοτικό πλαίσιο λειτουργίας, που διευκολύνει επιχειρήσεις και συναλλασσόμενους.</w:t>
      </w:r>
    </w:p>
    <w:p w14:paraId="44923103" w14:textId="6E27D0AC" w:rsidR="004641BB" w:rsidRDefault="00EC5DFC" w:rsidP="00EC5DFC">
      <w:pPr>
        <w:pStyle w:val="a5"/>
        <w:spacing w:after="120" w:line="276" w:lineRule="auto"/>
        <w:jc w:val="both"/>
        <w:rPr>
          <w:rFonts w:ascii="Franklin Gothic Medium" w:hAnsi="Franklin Gothic Medium"/>
          <w:bCs/>
          <w:sz w:val="24"/>
          <w:szCs w:val="28"/>
        </w:rPr>
      </w:pPr>
      <w:bookmarkStart w:id="0" w:name="_GoBack"/>
      <w:bookmarkEnd w:id="0"/>
      <w:r w:rsidRPr="00EC5DFC">
        <w:rPr>
          <w:rFonts w:ascii="Franklin Gothic Medium" w:hAnsi="Franklin Gothic Medium"/>
          <w:bCs/>
          <w:sz w:val="24"/>
          <w:szCs w:val="28"/>
        </w:rPr>
        <w:t>Η οργανωτική αυτή μεταρρύθμιση αποτελεί ένα ακόμη σημαντικό βήμα στο σχέδιο δράσης της ΑΑΔΕ για τον εκσυγχρονισμό και την αναμόρφωση του εθνικού τελωνειακού χάρτη, εξασφαλίζοντας μεγαλύτερη αποτελεσματικότητα και διαφάνεια στις τελωνειακές διαδικασίες</w:t>
      </w:r>
      <w:r w:rsidR="00C32AD7" w:rsidRPr="00C32AD7">
        <w:rPr>
          <w:rFonts w:ascii="Franklin Gothic Medium" w:hAnsi="Franklin Gothic Medium"/>
          <w:bCs/>
          <w:sz w:val="24"/>
          <w:szCs w:val="28"/>
        </w:rPr>
        <w:t>.</w:t>
      </w:r>
    </w:p>
    <w:p w14:paraId="7E6A6DF2" w14:textId="7F73CB71" w:rsidR="008E7B5C" w:rsidRPr="00070EEA" w:rsidRDefault="008E7B5C" w:rsidP="00C474E9">
      <w:pPr>
        <w:pStyle w:val="a3"/>
        <w:tabs>
          <w:tab w:val="left" w:pos="284"/>
        </w:tabs>
        <w:spacing w:before="120" w:after="120" w:line="276" w:lineRule="auto"/>
        <w:ind w:left="0"/>
        <w:contextualSpacing w:val="0"/>
        <w:jc w:val="both"/>
        <w:rPr>
          <w:rFonts w:ascii="Franklin Gothic Medium" w:hAnsi="Franklin Gothic Medium" w:cstheme="minorHAnsi"/>
          <w:b/>
          <w:sz w:val="24"/>
          <w:szCs w:val="24"/>
        </w:rPr>
      </w:pPr>
    </w:p>
    <w:sectPr w:rsidR="008E7B5C" w:rsidRPr="00070EEA"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31DF"/>
    <w:multiLevelType w:val="multilevel"/>
    <w:tmpl w:val="6AEC6388"/>
    <w:lvl w:ilvl="0">
      <w:start w:val="1"/>
      <w:numFmt w:val="decimal"/>
      <w:lvlText w:val="%1."/>
      <w:lvlJc w:val="left"/>
      <w:pPr>
        <w:ind w:left="720" w:hanging="360"/>
      </w:pPr>
      <w:rPr>
        <w:rFonts w:hint="default"/>
        <w:b/>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A88694C"/>
    <w:multiLevelType w:val="hybridMultilevel"/>
    <w:tmpl w:val="92AC44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7893ABB"/>
    <w:multiLevelType w:val="multilevel"/>
    <w:tmpl w:val="41CA2D0E"/>
    <w:lvl w:ilvl="0">
      <w:start w:val="1"/>
      <w:numFmt w:val="decimal"/>
      <w:lvlText w:val="%1."/>
      <w:lvlJc w:val="left"/>
      <w:pPr>
        <w:ind w:left="720" w:hanging="360"/>
      </w:pPr>
      <w:rPr>
        <w:rFonts w:hint="default"/>
        <w:b/>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6F541ED"/>
    <w:multiLevelType w:val="hybridMultilevel"/>
    <w:tmpl w:val="E4588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4A97BD6"/>
    <w:multiLevelType w:val="hybridMultilevel"/>
    <w:tmpl w:val="03F67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4"/>
  </w:num>
  <w:num w:numId="8">
    <w:abstractNumId w:val="17"/>
  </w:num>
  <w:num w:numId="9">
    <w:abstractNumId w:val="12"/>
  </w:num>
  <w:num w:numId="10">
    <w:abstractNumId w:val="6"/>
  </w:num>
  <w:num w:numId="11">
    <w:abstractNumId w:val="15"/>
  </w:num>
  <w:num w:numId="12">
    <w:abstractNumId w:val="1"/>
  </w:num>
  <w:num w:numId="13">
    <w:abstractNumId w:val="18"/>
  </w:num>
  <w:num w:numId="14">
    <w:abstractNumId w:val="3"/>
  </w:num>
  <w:num w:numId="15">
    <w:abstractNumId w:val="10"/>
  </w:num>
  <w:num w:numId="16">
    <w:abstractNumId w:val="16"/>
  </w:num>
  <w:num w:numId="17">
    <w:abstractNumId w:val="5"/>
  </w:num>
  <w:num w:numId="18">
    <w:abstractNumId w:val="0"/>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055B2"/>
    <w:rsid w:val="00006623"/>
    <w:rsid w:val="00026375"/>
    <w:rsid w:val="0003385F"/>
    <w:rsid w:val="00063B38"/>
    <w:rsid w:val="00064436"/>
    <w:rsid w:val="00066C94"/>
    <w:rsid w:val="000670A5"/>
    <w:rsid w:val="00067D0C"/>
    <w:rsid w:val="00070EEA"/>
    <w:rsid w:val="000757F8"/>
    <w:rsid w:val="00082964"/>
    <w:rsid w:val="00094E92"/>
    <w:rsid w:val="000A2C67"/>
    <w:rsid w:val="000A5226"/>
    <w:rsid w:val="000B2BD2"/>
    <w:rsid w:val="000B3E31"/>
    <w:rsid w:val="000C30D3"/>
    <w:rsid w:val="000D3ADB"/>
    <w:rsid w:val="000E5728"/>
    <w:rsid w:val="000F6D36"/>
    <w:rsid w:val="0011238D"/>
    <w:rsid w:val="00113292"/>
    <w:rsid w:val="001371D4"/>
    <w:rsid w:val="001449A9"/>
    <w:rsid w:val="00150C90"/>
    <w:rsid w:val="00164079"/>
    <w:rsid w:val="001651E8"/>
    <w:rsid w:val="001803FD"/>
    <w:rsid w:val="0018492B"/>
    <w:rsid w:val="001877DC"/>
    <w:rsid w:val="0019625B"/>
    <w:rsid w:val="001A2054"/>
    <w:rsid w:val="001A574B"/>
    <w:rsid w:val="001C08FC"/>
    <w:rsid w:val="001D01F8"/>
    <w:rsid w:val="001D7C5A"/>
    <w:rsid w:val="001F3A88"/>
    <w:rsid w:val="001F6E93"/>
    <w:rsid w:val="00234062"/>
    <w:rsid w:val="00242709"/>
    <w:rsid w:val="002462D1"/>
    <w:rsid w:val="00260294"/>
    <w:rsid w:val="00260D1E"/>
    <w:rsid w:val="0026229A"/>
    <w:rsid w:val="00291BFE"/>
    <w:rsid w:val="002A5C81"/>
    <w:rsid w:val="002A7283"/>
    <w:rsid w:val="002A75A4"/>
    <w:rsid w:val="002A7816"/>
    <w:rsid w:val="002B4493"/>
    <w:rsid w:val="002C2847"/>
    <w:rsid w:val="002D1AF1"/>
    <w:rsid w:val="002D63D2"/>
    <w:rsid w:val="002F2121"/>
    <w:rsid w:val="002F5C1E"/>
    <w:rsid w:val="002F62F1"/>
    <w:rsid w:val="00301206"/>
    <w:rsid w:val="00305FE2"/>
    <w:rsid w:val="00313EF1"/>
    <w:rsid w:val="003215DF"/>
    <w:rsid w:val="00330501"/>
    <w:rsid w:val="00336ED6"/>
    <w:rsid w:val="00361DDE"/>
    <w:rsid w:val="003713D6"/>
    <w:rsid w:val="0037391F"/>
    <w:rsid w:val="00374802"/>
    <w:rsid w:val="00380974"/>
    <w:rsid w:val="003A521E"/>
    <w:rsid w:val="003B5AA6"/>
    <w:rsid w:val="003D3633"/>
    <w:rsid w:val="003D6D06"/>
    <w:rsid w:val="003D73F4"/>
    <w:rsid w:val="00414220"/>
    <w:rsid w:val="00423DF6"/>
    <w:rsid w:val="004641BB"/>
    <w:rsid w:val="0048239D"/>
    <w:rsid w:val="004835E9"/>
    <w:rsid w:val="00486AB7"/>
    <w:rsid w:val="004A5BE1"/>
    <w:rsid w:val="004B3BD7"/>
    <w:rsid w:val="004B67AE"/>
    <w:rsid w:val="004F2C71"/>
    <w:rsid w:val="00506487"/>
    <w:rsid w:val="00507EDC"/>
    <w:rsid w:val="005473F0"/>
    <w:rsid w:val="00553B8B"/>
    <w:rsid w:val="00553E47"/>
    <w:rsid w:val="00564F0D"/>
    <w:rsid w:val="00573217"/>
    <w:rsid w:val="0058191F"/>
    <w:rsid w:val="00581E34"/>
    <w:rsid w:val="005C1547"/>
    <w:rsid w:val="005D617F"/>
    <w:rsid w:val="005E051D"/>
    <w:rsid w:val="005F79B0"/>
    <w:rsid w:val="00602DC3"/>
    <w:rsid w:val="006152EC"/>
    <w:rsid w:val="006413FF"/>
    <w:rsid w:val="00646B95"/>
    <w:rsid w:val="00663632"/>
    <w:rsid w:val="00685A03"/>
    <w:rsid w:val="00694997"/>
    <w:rsid w:val="006A01DD"/>
    <w:rsid w:val="006A791E"/>
    <w:rsid w:val="006D214E"/>
    <w:rsid w:val="006E41FD"/>
    <w:rsid w:val="006E5EF4"/>
    <w:rsid w:val="006F619D"/>
    <w:rsid w:val="007071AB"/>
    <w:rsid w:val="00707B87"/>
    <w:rsid w:val="007100C9"/>
    <w:rsid w:val="00730AA2"/>
    <w:rsid w:val="00732B5E"/>
    <w:rsid w:val="00737377"/>
    <w:rsid w:val="0074660B"/>
    <w:rsid w:val="00746826"/>
    <w:rsid w:val="0075117A"/>
    <w:rsid w:val="00757967"/>
    <w:rsid w:val="00761B92"/>
    <w:rsid w:val="007658D5"/>
    <w:rsid w:val="007671B3"/>
    <w:rsid w:val="00767A5F"/>
    <w:rsid w:val="00784A27"/>
    <w:rsid w:val="007917B0"/>
    <w:rsid w:val="007A2D4D"/>
    <w:rsid w:val="007A2FDC"/>
    <w:rsid w:val="007B3FC4"/>
    <w:rsid w:val="007C2949"/>
    <w:rsid w:val="007C4FF2"/>
    <w:rsid w:val="007D0049"/>
    <w:rsid w:val="007E00BF"/>
    <w:rsid w:val="007E270B"/>
    <w:rsid w:val="007F29CD"/>
    <w:rsid w:val="007F4EF3"/>
    <w:rsid w:val="00810880"/>
    <w:rsid w:val="008160BC"/>
    <w:rsid w:val="008210CA"/>
    <w:rsid w:val="0082755B"/>
    <w:rsid w:val="008327F4"/>
    <w:rsid w:val="00833845"/>
    <w:rsid w:val="00834093"/>
    <w:rsid w:val="008500A6"/>
    <w:rsid w:val="008578C1"/>
    <w:rsid w:val="0086532F"/>
    <w:rsid w:val="00883946"/>
    <w:rsid w:val="008942F2"/>
    <w:rsid w:val="00894C5B"/>
    <w:rsid w:val="00894FE5"/>
    <w:rsid w:val="008B4699"/>
    <w:rsid w:val="008C73EA"/>
    <w:rsid w:val="008E410A"/>
    <w:rsid w:val="008E5A18"/>
    <w:rsid w:val="008E7547"/>
    <w:rsid w:val="008E7B5C"/>
    <w:rsid w:val="008F5E35"/>
    <w:rsid w:val="00900016"/>
    <w:rsid w:val="00906C78"/>
    <w:rsid w:val="00914B2C"/>
    <w:rsid w:val="00915C8E"/>
    <w:rsid w:val="00921BA4"/>
    <w:rsid w:val="00952E21"/>
    <w:rsid w:val="00953BFD"/>
    <w:rsid w:val="00956721"/>
    <w:rsid w:val="00971EEF"/>
    <w:rsid w:val="0097616C"/>
    <w:rsid w:val="00983E24"/>
    <w:rsid w:val="0099105E"/>
    <w:rsid w:val="00991FA7"/>
    <w:rsid w:val="00992A8C"/>
    <w:rsid w:val="00995366"/>
    <w:rsid w:val="009A0CB3"/>
    <w:rsid w:val="009A5A44"/>
    <w:rsid w:val="009A6261"/>
    <w:rsid w:val="009B0EBA"/>
    <w:rsid w:val="009B47F6"/>
    <w:rsid w:val="009D0028"/>
    <w:rsid w:val="009F1F49"/>
    <w:rsid w:val="009F461E"/>
    <w:rsid w:val="00A03C91"/>
    <w:rsid w:val="00A044B5"/>
    <w:rsid w:val="00A136B3"/>
    <w:rsid w:val="00A41F7A"/>
    <w:rsid w:val="00A43BFC"/>
    <w:rsid w:val="00A441B7"/>
    <w:rsid w:val="00A465B1"/>
    <w:rsid w:val="00A56FAF"/>
    <w:rsid w:val="00A6282C"/>
    <w:rsid w:val="00A74C0B"/>
    <w:rsid w:val="00A77498"/>
    <w:rsid w:val="00A87ED3"/>
    <w:rsid w:val="00A935D0"/>
    <w:rsid w:val="00A97897"/>
    <w:rsid w:val="00AA069E"/>
    <w:rsid w:val="00AA2AAC"/>
    <w:rsid w:val="00AD73B1"/>
    <w:rsid w:val="00AE04C5"/>
    <w:rsid w:val="00AF2984"/>
    <w:rsid w:val="00AF44BF"/>
    <w:rsid w:val="00B01F71"/>
    <w:rsid w:val="00B06F05"/>
    <w:rsid w:val="00B144A3"/>
    <w:rsid w:val="00B27C54"/>
    <w:rsid w:val="00B34607"/>
    <w:rsid w:val="00B35EFD"/>
    <w:rsid w:val="00B368C2"/>
    <w:rsid w:val="00B44BFE"/>
    <w:rsid w:val="00B52CF6"/>
    <w:rsid w:val="00B56188"/>
    <w:rsid w:val="00B66AC5"/>
    <w:rsid w:val="00B70F24"/>
    <w:rsid w:val="00B7504B"/>
    <w:rsid w:val="00B800D7"/>
    <w:rsid w:val="00B80CA8"/>
    <w:rsid w:val="00B826F4"/>
    <w:rsid w:val="00B83A84"/>
    <w:rsid w:val="00B915CE"/>
    <w:rsid w:val="00B94984"/>
    <w:rsid w:val="00BA6F64"/>
    <w:rsid w:val="00BB5038"/>
    <w:rsid w:val="00BD036E"/>
    <w:rsid w:val="00C026A9"/>
    <w:rsid w:val="00C07496"/>
    <w:rsid w:val="00C155EF"/>
    <w:rsid w:val="00C2608B"/>
    <w:rsid w:val="00C30F0C"/>
    <w:rsid w:val="00C31929"/>
    <w:rsid w:val="00C32AD7"/>
    <w:rsid w:val="00C41BB3"/>
    <w:rsid w:val="00C43510"/>
    <w:rsid w:val="00C4448E"/>
    <w:rsid w:val="00C46B25"/>
    <w:rsid w:val="00C474E9"/>
    <w:rsid w:val="00C51CD2"/>
    <w:rsid w:val="00C53011"/>
    <w:rsid w:val="00C736B9"/>
    <w:rsid w:val="00C86474"/>
    <w:rsid w:val="00C87351"/>
    <w:rsid w:val="00CB036D"/>
    <w:rsid w:val="00CC4B93"/>
    <w:rsid w:val="00CC546F"/>
    <w:rsid w:val="00CE4058"/>
    <w:rsid w:val="00CE5C4E"/>
    <w:rsid w:val="00CF6F1C"/>
    <w:rsid w:val="00D058FF"/>
    <w:rsid w:val="00D14669"/>
    <w:rsid w:val="00D25A4B"/>
    <w:rsid w:val="00D35822"/>
    <w:rsid w:val="00D9068B"/>
    <w:rsid w:val="00D90C1C"/>
    <w:rsid w:val="00D91814"/>
    <w:rsid w:val="00D93D18"/>
    <w:rsid w:val="00DA512D"/>
    <w:rsid w:val="00DD1CB7"/>
    <w:rsid w:val="00DD480F"/>
    <w:rsid w:val="00DD6ECE"/>
    <w:rsid w:val="00DE3C4B"/>
    <w:rsid w:val="00E03100"/>
    <w:rsid w:val="00E16CE1"/>
    <w:rsid w:val="00E37A1D"/>
    <w:rsid w:val="00E4149B"/>
    <w:rsid w:val="00E51F84"/>
    <w:rsid w:val="00E5494C"/>
    <w:rsid w:val="00E833D9"/>
    <w:rsid w:val="00E90B7C"/>
    <w:rsid w:val="00E91F1C"/>
    <w:rsid w:val="00E94BB8"/>
    <w:rsid w:val="00EA2FCF"/>
    <w:rsid w:val="00EB034D"/>
    <w:rsid w:val="00EC2240"/>
    <w:rsid w:val="00EC5DFC"/>
    <w:rsid w:val="00ED566C"/>
    <w:rsid w:val="00EE7FAD"/>
    <w:rsid w:val="00EE7FCE"/>
    <w:rsid w:val="00EF116B"/>
    <w:rsid w:val="00F22D6E"/>
    <w:rsid w:val="00F25B84"/>
    <w:rsid w:val="00F44D70"/>
    <w:rsid w:val="00F56A9F"/>
    <w:rsid w:val="00F616B8"/>
    <w:rsid w:val="00F73BA0"/>
    <w:rsid w:val="00F83A09"/>
    <w:rsid w:val="00FA0A5A"/>
    <w:rsid w:val="00FB16D2"/>
    <w:rsid w:val="00FB3274"/>
    <w:rsid w:val="00FB376A"/>
    <w:rsid w:val="00FC2B64"/>
    <w:rsid w:val="00FD52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4E88"/>
  <w15:docId w15:val="{5A69ADAC-7C93-469B-9601-6368BF44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465B1"/>
    <w:pPr>
      <w:ind w:left="720"/>
      <w:contextualSpacing/>
    </w:pPr>
  </w:style>
  <w:style w:type="paragraph" w:styleId="a4">
    <w:name w:val="Balloon Text"/>
    <w:basedOn w:val="a"/>
    <w:link w:val="Char0"/>
    <w:uiPriority w:val="99"/>
    <w:semiHidden/>
    <w:unhideWhenUsed/>
    <w:rsid w:val="00AF44BF"/>
    <w:rPr>
      <w:rFonts w:ascii="Tahoma" w:hAnsi="Tahoma" w:cs="Tahoma"/>
      <w:sz w:val="16"/>
      <w:szCs w:val="16"/>
    </w:rPr>
  </w:style>
  <w:style w:type="character" w:customStyle="1" w:styleId="Char0">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1"/>
    <w:uiPriority w:val="99"/>
    <w:unhideWhenUsed/>
    <w:rsid w:val="00094E92"/>
    <w:rPr>
      <w:rFonts w:cstheme="minorBidi"/>
      <w:szCs w:val="21"/>
    </w:rPr>
  </w:style>
  <w:style w:type="character" w:customStyle="1" w:styleId="Char1">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semiHidden/>
    <w:unhideWhenUsed/>
    <w:rsid w:val="00F73BA0"/>
    <w:rPr>
      <w:color w:val="0000FF"/>
      <w:u w:val="single"/>
    </w:rPr>
  </w:style>
  <w:style w:type="character" w:customStyle="1" w:styleId="Char">
    <w:name w:val="Παράγραφος λίστας Char"/>
    <w:link w:val="a3"/>
    <w:uiPriority w:val="34"/>
    <w:rsid w:val="008E5A18"/>
    <w:rPr>
      <w:rFonts w:ascii="Calibri" w:hAnsi="Calibri" w:cs="Calibri"/>
    </w:rPr>
  </w:style>
  <w:style w:type="character" w:styleId="a6">
    <w:name w:val="annotation reference"/>
    <w:basedOn w:val="a0"/>
    <w:uiPriority w:val="99"/>
    <w:semiHidden/>
    <w:unhideWhenUsed/>
    <w:rsid w:val="0058191F"/>
    <w:rPr>
      <w:sz w:val="16"/>
      <w:szCs w:val="16"/>
    </w:rPr>
  </w:style>
  <w:style w:type="paragraph" w:styleId="a7">
    <w:name w:val="annotation text"/>
    <w:basedOn w:val="a"/>
    <w:link w:val="Char2"/>
    <w:uiPriority w:val="99"/>
    <w:semiHidden/>
    <w:unhideWhenUsed/>
    <w:rsid w:val="0058191F"/>
    <w:rPr>
      <w:sz w:val="20"/>
      <w:szCs w:val="20"/>
    </w:rPr>
  </w:style>
  <w:style w:type="character" w:customStyle="1" w:styleId="Char2">
    <w:name w:val="Κείμενο σχολίου Char"/>
    <w:basedOn w:val="a0"/>
    <w:link w:val="a7"/>
    <w:uiPriority w:val="99"/>
    <w:semiHidden/>
    <w:rsid w:val="0058191F"/>
    <w:rPr>
      <w:rFonts w:ascii="Calibri" w:hAnsi="Calibri" w:cs="Calibri"/>
      <w:sz w:val="20"/>
      <w:szCs w:val="20"/>
    </w:rPr>
  </w:style>
  <w:style w:type="paragraph" w:styleId="a8">
    <w:name w:val="annotation subject"/>
    <w:basedOn w:val="a7"/>
    <w:next w:val="a7"/>
    <w:link w:val="Char3"/>
    <w:uiPriority w:val="99"/>
    <w:semiHidden/>
    <w:unhideWhenUsed/>
    <w:rsid w:val="0058191F"/>
    <w:rPr>
      <w:b/>
      <w:bCs/>
    </w:rPr>
  </w:style>
  <w:style w:type="character" w:customStyle="1" w:styleId="Char3">
    <w:name w:val="Θέμα σχολίου Char"/>
    <w:basedOn w:val="Char2"/>
    <w:link w:val="a8"/>
    <w:uiPriority w:val="99"/>
    <w:semiHidden/>
    <w:rsid w:val="0058191F"/>
    <w:rPr>
      <w:rFonts w:ascii="Calibri" w:hAnsi="Calibri" w:cs="Calibri"/>
      <w:b/>
      <w:bCs/>
      <w:sz w:val="20"/>
      <w:szCs w:val="20"/>
    </w:rPr>
  </w:style>
  <w:style w:type="character" w:styleId="-0">
    <w:name w:val="FollowedHyperlink"/>
    <w:basedOn w:val="a0"/>
    <w:uiPriority w:val="99"/>
    <w:semiHidden/>
    <w:unhideWhenUsed/>
    <w:rsid w:val="00992A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185FAC-C409-4FC8-8CE3-9BBFE6090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1105</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s.veroniki</dc:creator>
  <cp:lastModifiedBy>ΔΕΠΙΚ</cp:lastModifiedBy>
  <cp:revision>3</cp:revision>
  <cp:lastPrinted>2023-10-20T13:41:00Z</cp:lastPrinted>
  <dcterms:created xsi:type="dcterms:W3CDTF">2025-11-17T11:03:00Z</dcterms:created>
  <dcterms:modified xsi:type="dcterms:W3CDTF">2025-11-17T11:06:00Z</dcterms:modified>
</cp:coreProperties>
</file>