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75EB7" w14:textId="77777777" w:rsidR="003E0DC3" w:rsidRDefault="003E0DC3" w:rsidP="00E272D9">
      <w:pPr>
        <w:jc w:val="center"/>
        <w:rPr>
          <w:rFonts w:ascii="Franklin Gothic Medium" w:hAnsi="Franklin Gothic Medium"/>
          <w:b/>
          <w:bCs/>
          <w:color w:val="1F497D" w:themeColor="text2"/>
          <w:sz w:val="36"/>
          <w:szCs w:val="23"/>
          <w:lang w:val="en-US"/>
        </w:rPr>
      </w:pPr>
    </w:p>
    <w:p w14:paraId="1F4E9D23" w14:textId="4ED94B61" w:rsidR="003E0DC3" w:rsidRDefault="003E0DC3" w:rsidP="003E0DC3">
      <w:pPr>
        <w:rPr>
          <w:rFonts w:ascii="Franklin Gothic Medium" w:hAnsi="Franklin Gothic Medium"/>
          <w:b/>
          <w:bCs/>
          <w:color w:val="1F497D" w:themeColor="text2"/>
          <w:sz w:val="36"/>
          <w:szCs w:val="23"/>
          <w:lang w:val="en-US"/>
        </w:rPr>
      </w:pPr>
      <w:r>
        <w:rPr>
          <w:rFonts w:ascii="Franklin Gothic Medium" w:hAnsi="Franklin Gothic Medium"/>
          <w:b/>
          <w:bCs/>
          <w:noProof/>
          <w:color w:val="1F497D" w:themeColor="text2"/>
          <w:sz w:val="36"/>
          <w:szCs w:val="23"/>
          <w:lang w:val="en-US"/>
        </w:rPr>
        <w:drawing>
          <wp:inline distT="0" distB="0" distL="0" distR="0" wp14:anchorId="618EA591" wp14:editId="78FEDC3D">
            <wp:extent cx="2750820" cy="899160"/>
            <wp:effectExtent l="0" t="0" r="0" b="0"/>
            <wp:docPr id="26040717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059" cy="903487"/>
                    </a:xfrm>
                    <a:prstGeom prst="rect">
                      <a:avLst/>
                    </a:prstGeom>
                    <a:noFill/>
                  </pic:spPr>
                </pic:pic>
              </a:graphicData>
            </a:graphic>
          </wp:inline>
        </w:drawing>
      </w:r>
    </w:p>
    <w:p w14:paraId="0ED6C26F" w14:textId="6121CEC8" w:rsidR="00806274" w:rsidRPr="00CB467F" w:rsidRDefault="00944920" w:rsidP="00E272D9">
      <w:pPr>
        <w:jc w:val="center"/>
        <w:rPr>
          <w:rFonts w:ascii="Franklin Gothic Medium" w:hAnsi="Franklin Gothic Medium"/>
          <w:b/>
          <w:bCs/>
          <w:color w:val="1F497D" w:themeColor="text2"/>
          <w:sz w:val="36"/>
          <w:szCs w:val="23"/>
          <w:lang w:val="en-US"/>
        </w:rPr>
      </w:pPr>
      <w:r w:rsidRPr="00944920">
        <w:rPr>
          <w:rFonts w:ascii="Franklin Gothic Medium" w:hAnsi="Franklin Gothic Medium"/>
          <w:b/>
          <w:bCs/>
          <w:color w:val="1F497D" w:themeColor="text2"/>
          <w:sz w:val="36"/>
          <w:szCs w:val="23"/>
          <w:lang w:val="en-US"/>
        </w:rPr>
        <w:t xml:space="preserve">Compliance </w:t>
      </w:r>
      <w:r w:rsidR="00CB467F">
        <w:rPr>
          <w:rFonts w:ascii="Franklin Gothic Medium" w:hAnsi="Franklin Gothic Medium"/>
          <w:b/>
          <w:bCs/>
          <w:color w:val="1F497D" w:themeColor="text2"/>
          <w:sz w:val="36"/>
          <w:szCs w:val="23"/>
          <w:lang w:val="en-US"/>
        </w:rPr>
        <w:t>_</w:t>
      </w:r>
      <w:r w:rsidRPr="00944920">
        <w:rPr>
          <w:rFonts w:ascii="Franklin Gothic Medium" w:hAnsi="Franklin Gothic Medium"/>
          <w:b/>
          <w:bCs/>
          <w:color w:val="1F497D" w:themeColor="text2"/>
          <w:sz w:val="36"/>
          <w:szCs w:val="23"/>
          <w:lang w:val="en-US"/>
        </w:rPr>
        <w:t xml:space="preserve"> Documentation Tables </w:t>
      </w:r>
      <w:r w:rsidR="00CB467F" w:rsidRPr="00CB467F">
        <w:rPr>
          <w:rFonts w:ascii="Franklin Gothic Medium" w:hAnsi="Franklin Gothic Medium"/>
          <w:b/>
          <w:bCs/>
          <w:color w:val="1F497D" w:themeColor="text2"/>
          <w:sz w:val="36"/>
          <w:szCs w:val="23"/>
          <w:lang w:val="en-US"/>
        </w:rPr>
        <w:t>Y.PA.H.E.S. / E.D.I.S.P.</w:t>
      </w:r>
    </w:p>
    <w:tbl>
      <w:tblPr>
        <w:tblStyle w:val="a6"/>
        <w:tblW w:w="0" w:type="auto"/>
        <w:tblLook w:val="04A0" w:firstRow="1" w:lastRow="0" w:firstColumn="1" w:lastColumn="0" w:noHBand="0" w:noVBand="1"/>
      </w:tblPr>
      <w:tblGrid>
        <w:gridCol w:w="5637"/>
        <w:gridCol w:w="2885"/>
      </w:tblGrid>
      <w:tr w:rsidR="00376BC9" w:rsidRPr="00EB2670" w14:paraId="0415B8E9" w14:textId="77777777" w:rsidTr="00B64B3F">
        <w:tc>
          <w:tcPr>
            <w:tcW w:w="5637" w:type="dxa"/>
            <w:tcBorders>
              <w:top w:val="nil"/>
              <w:left w:val="nil"/>
              <w:bottom w:val="nil"/>
              <w:right w:val="single" w:sz="4" w:space="0" w:color="auto"/>
            </w:tcBorders>
          </w:tcPr>
          <w:p w14:paraId="5FEDC994" w14:textId="5E06EA05" w:rsidR="00376BC9" w:rsidRPr="00EB2670" w:rsidRDefault="00944920" w:rsidP="00E272D9">
            <w:pPr>
              <w:jc w:val="center"/>
              <w:rPr>
                <w:rFonts w:ascii="Franklin Gothic Medium" w:hAnsi="Franklin Gothic Medium"/>
                <w:b/>
                <w:bCs/>
                <w:color w:val="000000" w:themeColor="text1"/>
                <w:sz w:val="28"/>
                <w:szCs w:val="23"/>
              </w:rPr>
            </w:pPr>
            <w:proofErr w:type="spellStart"/>
            <w:r w:rsidRPr="00944920">
              <w:rPr>
                <w:rFonts w:ascii="Franklin Gothic Medium" w:hAnsi="Franklin Gothic Medium"/>
                <w:b/>
                <w:bCs/>
                <w:color w:val="000000" w:themeColor="text1"/>
                <w:sz w:val="28"/>
                <w:szCs w:val="23"/>
              </w:rPr>
              <w:t>Submission</w:t>
            </w:r>
            <w:proofErr w:type="spellEnd"/>
            <w:r w:rsidRPr="00944920">
              <w:rPr>
                <w:rFonts w:ascii="Franklin Gothic Medium" w:hAnsi="Franklin Gothic Medium"/>
                <w:b/>
                <w:bCs/>
                <w:color w:val="000000" w:themeColor="text1"/>
                <w:sz w:val="28"/>
                <w:szCs w:val="23"/>
              </w:rPr>
              <w:t xml:space="preserve"> </w:t>
            </w:r>
            <w:proofErr w:type="spellStart"/>
            <w:r w:rsidRPr="00944920">
              <w:rPr>
                <w:rFonts w:ascii="Franklin Gothic Medium" w:hAnsi="Franklin Gothic Medium"/>
                <w:b/>
                <w:bCs/>
                <w:color w:val="000000" w:themeColor="text1"/>
                <w:sz w:val="28"/>
                <w:szCs w:val="23"/>
              </w:rPr>
              <w:t>Date</w:t>
            </w:r>
            <w:proofErr w:type="spellEnd"/>
          </w:p>
        </w:tc>
        <w:tc>
          <w:tcPr>
            <w:tcW w:w="2885" w:type="dxa"/>
            <w:tcBorders>
              <w:left w:val="single" w:sz="4" w:space="0" w:color="auto"/>
            </w:tcBorders>
          </w:tcPr>
          <w:p w14:paraId="405B27E1" w14:textId="77777777" w:rsidR="00376BC9" w:rsidRPr="00EB2670" w:rsidRDefault="00376BC9" w:rsidP="00E272D9">
            <w:pPr>
              <w:jc w:val="center"/>
              <w:rPr>
                <w:rFonts w:ascii="Franklin Gothic Medium" w:hAnsi="Franklin Gothic Medium"/>
                <w:b/>
                <w:bCs/>
                <w:color w:val="000000" w:themeColor="text1"/>
                <w:sz w:val="28"/>
                <w:szCs w:val="23"/>
              </w:rPr>
            </w:pPr>
          </w:p>
        </w:tc>
      </w:tr>
    </w:tbl>
    <w:p w14:paraId="506371C6" w14:textId="77777777" w:rsidR="00376BC9" w:rsidRPr="00EB2670" w:rsidRDefault="00376BC9" w:rsidP="00E272D9">
      <w:pPr>
        <w:jc w:val="center"/>
        <w:rPr>
          <w:rFonts w:ascii="Franklin Gothic Medium" w:hAnsi="Franklin Gothic Medium"/>
          <w:b/>
          <w:bCs/>
          <w:color w:val="000000" w:themeColor="text1"/>
          <w:sz w:val="28"/>
          <w:szCs w:val="23"/>
        </w:rPr>
      </w:pPr>
    </w:p>
    <w:p w14:paraId="12109C70" w14:textId="4DCF737D" w:rsidR="0059618F" w:rsidRPr="00CB467F" w:rsidRDefault="00944920" w:rsidP="0059618F">
      <w:pPr>
        <w:rPr>
          <w:rFonts w:ascii="Franklin Gothic Medium" w:hAnsi="Franklin Gothic Medium"/>
          <w:b/>
          <w:bCs/>
          <w:color w:val="1F497D" w:themeColor="text2"/>
          <w:sz w:val="36"/>
          <w:szCs w:val="23"/>
          <w:lang w:val="en-US"/>
        </w:rPr>
      </w:pPr>
      <w:proofErr w:type="spellStart"/>
      <w:r w:rsidRPr="00944920">
        <w:rPr>
          <w:rFonts w:ascii="Franklin Gothic Medium" w:hAnsi="Franklin Gothic Medium"/>
          <w:b/>
          <w:bCs/>
          <w:color w:val="1F497D" w:themeColor="text2"/>
          <w:sz w:val="36"/>
          <w:szCs w:val="23"/>
        </w:rPr>
        <w:t>Company</w:t>
      </w:r>
      <w:proofErr w:type="spellEnd"/>
      <w:r w:rsidRPr="00944920">
        <w:rPr>
          <w:rFonts w:ascii="Franklin Gothic Medium" w:hAnsi="Franklin Gothic Medium"/>
          <w:b/>
          <w:bCs/>
          <w:color w:val="1F497D" w:themeColor="text2"/>
          <w:sz w:val="36"/>
          <w:szCs w:val="23"/>
        </w:rPr>
        <w:t xml:space="preserve"> </w:t>
      </w:r>
      <w:r w:rsidR="00CB467F">
        <w:rPr>
          <w:rFonts w:ascii="Franklin Gothic Medium" w:hAnsi="Franklin Gothic Medium"/>
          <w:b/>
          <w:bCs/>
          <w:color w:val="1F497D" w:themeColor="text2"/>
          <w:sz w:val="36"/>
          <w:szCs w:val="23"/>
          <w:lang w:val="en-US"/>
        </w:rPr>
        <w:t>Details</w:t>
      </w:r>
    </w:p>
    <w:tbl>
      <w:tblPr>
        <w:tblStyle w:val="a6"/>
        <w:tblW w:w="8755" w:type="dxa"/>
        <w:tblLook w:val="04A0" w:firstRow="1" w:lastRow="0" w:firstColumn="1" w:lastColumn="0" w:noHBand="0" w:noVBand="1"/>
      </w:tblPr>
      <w:tblGrid>
        <w:gridCol w:w="3227"/>
        <w:gridCol w:w="5528"/>
      </w:tblGrid>
      <w:tr w:rsidR="00376BC9" w:rsidRPr="00EB2670" w14:paraId="00FD6B9C" w14:textId="77777777" w:rsidTr="002915E2">
        <w:tc>
          <w:tcPr>
            <w:tcW w:w="3227" w:type="dxa"/>
          </w:tcPr>
          <w:p w14:paraId="224E308F" w14:textId="33E9664F" w:rsidR="00376BC9" w:rsidRPr="00EB2670" w:rsidRDefault="00944920" w:rsidP="00FA1D74">
            <w:pPr>
              <w:rPr>
                <w:rFonts w:ascii="Franklin Gothic Medium" w:hAnsi="Franklin Gothic Medium"/>
                <w:b/>
                <w:bCs/>
                <w:color w:val="000000" w:themeColor="text1"/>
                <w:sz w:val="28"/>
                <w:szCs w:val="23"/>
              </w:rPr>
            </w:pPr>
            <w:proofErr w:type="spellStart"/>
            <w:r w:rsidRPr="00944920">
              <w:rPr>
                <w:rFonts w:ascii="Franklin Gothic Medium" w:hAnsi="Franklin Gothic Medium"/>
                <w:b/>
                <w:bCs/>
                <w:color w:val="000000" w:themeColor="text1"/>
                <w:sz w:val="28"/>
                <w:szCs w:val="23"/>
              </w:rPr>
              <w:t>Company</w:t>
            </w:r>
            <w:proofErr w:type="spellEnd"/>
            <w:r w:rsidRPr="00944920">
              <w:rPr>
                <w:rFonts w:ascii="Franklin Gothic Medium" w:hAnsi="Franklin Gothic Medium"/>
                <w:b/>
                <w:bCs/>
                <w:color w:val="000000" w:themeColor="text1"/>
                <w:sz w:val="28"/>
                <w:szCs w:val="23"/>
              </w:rPr>
              <w:t xml:space="preserve"> </w:t>
            </w:r>
            <w:proofErr w:type="spellStart"/>
            <w:r w:rsidRPr="00944920">
              <w:rPr>
                <w:rFonts w:ascii="Franklin Gothic Medium" w:hAnsi="Franklin Gothic Medium"/>
                <w:b/>
                <w:bCs/>
                <w:color w:val="000000" w:themeColor="text1"/>
                <w:sz w:val="28"/>
                <w:szCs w:val="23"/>
              </w:rPr>
              <w:t>Name</w:t>
            </w:r>
            <w:proofErr w:type="spellEnd"/>
          </w:p>
        </w:tc>
        <w:tc>
          <w:tcPr>
            <w:tcW w:w="5528" w:type="dxa"/>
          </w:tcPr>
          <w:p w14:paraId="2CA99672"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FC1F39" w14:paraId="287F4CE9" w14:textId="77777777" w:rsidTr="002915E2">
        <w:tc>
          <w:tcPr>
            <w:tcW w:w="3227" w:type="dxa"/>
          </w:tcPr>
          <w:p w14:paraId="1515EB22" w14:textId="08B4243D" w:rsidR="00376BC9" w:rsidRPr="00944920" w:rsidRDefault="00944920" w:rsidP="00FA1D74">
            <w:pPr>
              <w:rPr>
                <w:rFonts w:ascii="Franklin Gothic Medium" w:hAnsi="Franklin Gothic Medium"/>
                <w:b/>
                <w:bCs/>
                <w:color w:val="000000" w:themeColor="text1"/>
                <w:sz w:val="28"/>
                <w:szCs w:val="23"/>
                <w:lang w:val="en-US"/>
              </w:rPr>
            </w:pPr>
            <w:r w:rsidRPr="00944920">
              <w:rPr>
                <w:rFonts w:ascii="Franklin Gothic Medium" w:hAnsi="Franklin Gothic Medium"/>
                <w:b/>
                <w:bCs/>
                <w:color w:val="000000" w:themeColor="text1"/>
                <w:sz w:val="28"/>
                <w:szCs w:val="23"/>
                <w:lang w:val="en-US"/>
              </w:rPr>
              <w:t>Tax Identification Number (T.I.N)</w:t>
            </w:r>
          </w:p>
        </w:tc>
        <w:tc>
          <w:tcPr>
            <w:tcW w:w="5528" w:type="dxa"/>
          </w:tcPr>
          <w:p w14:paraId="04EA3852" w14:textId="77777777" w:rsidR="00376BC9" w:rsidRPr="00944920" w:rsidRDefault="00376BC9" w:rsidP="00FA1D74">
            <w:pPr>
              <w:jc w:val="center"/>
              <w:rPr>
                <w:rFonts w:ascii="Franklin Gothic Medium" w:hAnsi="Franklin Gothic Medium"/>
                <w:b/>
                <w:bCs/>
                <w:color w:val="1F497D" w:themeColor="text2"/>
                <w:sz w:val="36"/>
                <w:szCs w:val="23"/>
                <w:lang w:val="en-US"/>
              </w:rPr>
            </w:pPr>
          </w:p>
        </w:tc>
      </w:tr>
      <w:tr w:rsidR="00376BC9" w:rsidRPr="00EB2670" w14:paraId="62961748" w14:textId="77777777" w:rsidTr="002915E2">
        <w:tc>
          <w:tcPr>
            <w:tcW w:w="3227" w:type="dxa"/>
          </w:tcPr>
          <w:p w14:paraId="36B661CC" w14:textId="731B6C45" w:rsidR="00376BC9" w:rsidRPr="00EB2670" w:rsidRDefault="00944920" w:rsidP="00FA1D74">
            <w:pPr>
              <w:rPr>
                <w:rFonts w:ascii="Franklin Gothic Medium" w:hAnsi="Franklin Gothic Medium"/>
                <w:b/>
                <w:bCs/>
                <w:color w:val="000000" w:themeColor="text1"/>
                <w:sz w:val="28"/>
                <w:szCs w:val="23"/>
              </w:rPr>
            </w:pPr>
            <w:proofErr w:type="spellStart"/>
            <w:r w:rsidRPr="00944920">
              <w:rPr>
                <w:rFonts w:ascii="Franklin Gothic Medium" w:hAnsi="Franklin Gothic Medium"/>
                <w:b/>
                <w:bCs/>
                <w:color w:val="000000" w:themeColor="text1"/>
                <w:sz w:val="28"/>
                <w:szCs w:val="23"/>
              </w:rPr>
              <w:t>Registered</w:t>
            </w:r>
            <w:proofErr w:type="spellEnd"/>
            <w:r w:rsidR="00CB467F">
              <w:rPr>
                <w:rFonts w:ascii="Franklin Gothic Medium" w:hAnsi="Franklin Gothic Medium"/>
                <w:b/>
                <w:bCs/>
                <w:color w:val="000000" w:themeColor="text1"/>
                <w:sz w:val="28"/>
                <w:szCs w:val="23"/>
                <w:lang w:val="en-US"/>
              </w:rPr>
              <w:t xml:space="preserve"> Business</w:t>
            </w:r>
            <w:r w:rsidRPr="00944920">
              <w:rPr>
                <w:rFonts w:ascii="Franklin Gothic Medium" w:hAnsi="Franklin Gothic Medium"/>
                <w:b/>
                <w:bCs/>
                <w:color w:val="000000" w:themeColor="text1"/>
                <w:sz w:val="28"/>
                <w:szCs w:val="23"/>
              </w:rPr>
              <w:t xml:space="preserve"> </w:t>
            </w:r>
            <w:proofErr w:type="spellStart"/>
            <w:r w:rsidRPr="00944920">
              <w:rPr>
                <w:rFonts w:ascii="Franklin Gothic Medium" w:hAnsi="Franklin Gothic Medium"/>
                <w:b/>
                <w:bCs/>
                <w:color w:val="000000" w:themeColor="text1"/>
                <w:sz w:val="28"/>
                <w:szCs w:val="23"/>
              </w:rPr>
              <w:t>Address</w:t>
            </w:r>
            <w:proofErr w:type="spellEnd"/>
          </w:p>
        </w:tc>
        <w:tc>
          <w:tcPr>
            <w:tcW w:w="5528" w:type="dxa"/>
          </w:tcPr>
          <w:p w14:paraId="0DD29475"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34ADC290" w14:textId="77777777" w:rsidTr="002915E2">
        <w:tc>
          <w:tcPr>
            <w:tcW w:w="3227" w:type="dxa"/>
            <w:vMerge w:val="restart"/>
          </w:tcPr>
          <w:p w14:paraId="330809A3" w14:textId="379F869C" w:rsidR="00376BC9" w:rsidRPr="00CB467F" w:rsidRDefault="00944920" w:rsidP="00FA1D74">
            <w:pPr>
              <w:rPr>
                <w:rFonts w:ascii="Franklin Gothic Medium" w:hAnsi="Franklin Gothic Medium"/>
                <w:b/>
                <w:bCs/>
                <w:color w:val="000000" w:themeColor="text1"/>
                <w:sz w:val="28"/>
                <w:szCs w:val="23"/>
                <w:lang w:val="en-US"/>
              </w:rPr>
            </w:pPr>
            <w:proofErr w:type="spellStart"/>
            <w:r w:rsidRPr="00944920">
              <w:rPr>
                <w:rFonts w:ascii="Franklin Gothic Medium" w:hAnsi="Franklin Gothic Medium"/>
                <w:b/>
                <w:bCs/>
                <w:color w:val="000000" w:themeColor="text1"/>
                <w:sz w:val="28"/>
                <w:szCs w:val="23"/>
              </w:rPr>
              <w:t>Contact</w:t>
            </w:r>
            <w:proofErr w:type="spellEnd"/>
            <w:r w:rsidRPr="00944920">
              <w:rPr>
                <w:rFonts w:ascii="Franklin Gothic Medium" w:hAnsi="Franklin Gothic Medium"/>
                <w:b/>
                <w:bCs/>
                <w:color w:val="000000" w:themeColor="text1"/>
                <w:sz w:val="28"/>
                <w:szCs w:val="23"/>
              </w:rPr>
              <w:t xml:space="preserve"> </w:t>
            </w:r>
            <w:r w:rsidR="00CB467F">
              <w:rPr>
                <w:rFonts w:ascii="Franklin Gothic Medium" w:hAnsi="Franklin Gothic Medium"/>
                <w:b/>
                <w:bCs/>
                <w:color w:val="000000" w:themeColor="text1"/>
                <w:sz w:val="28"/>
                <w:szCs w:val="23"/>
                <w:lang w:val="en-US"/>
              </w:rPr>
              <w:t>Number</w:t>
            </w:r>
          </w:p>
        </w:tc>
        <w:tc>
          <w:tcPr>
            <w:tcW w:w="5528" w:type="dxa"/>
          </w:tcPr>
          <w:p w14:paraId="56667BF1"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341167CB" w14:textId="77777777" w:rsidTr="002915E2">
        <w:tc>
          <w:tcPr>
            <w:tcW w:w="3227" w:type="dxa"/>
            <w:vMerge/>
          </w:tcPr>
          <w:p w14:paraId="090DEB61" w14:textId="77777777" w:rsidR="00376BC9" w:rsidRPr="00EB2670" w:rsidRDefault="00376BC9" w:rsidP="00FA1D74">
            <w:pPr>
              <w:rPr>
                <w:rFonts w:ascii="Franklin Gothic Medium" w:hAnsi="Franklin Gothic Medium"/>
                <w:b/>
                <w:bCs/>
                <w:color w:val="000000" w:themeColor="text1"/>
                <w:sz w:val="28"/>
                <w:szCs w:val="23"/>
              </w:rPr>
            </w:pPr>
          </w:p>
        </w:tc>
        <w:tc>
          <w:tcPr>
            <w:tcW w:w="5528" w:type="dxa"/>
          </w:tcPr>
          <w:p w14:paraId="760B8C47"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5067C216" w14:textId="77777777" w:rsidTr="002915E2">
        <w:tc>
          <w:tcPr>
            <w:tcW w:w="3227" w:type="dxa"/>
          </w:tcPr>
          <w:p w14:paraId="1AC7B515" w14:textId="77777777" w:rsidR="00376BC9" w:rsidRPr="00EB2670" w:rsidRDefault="00376BC9" w:rsidP="00FA1D74">
            <w:pPr>
              <w:rPr>
                <w:rFonts w:ascii="Franklin Gothic Medium" w:hAnsi="Franklin Gothic Medium"/>
                <w:b/>
                <w:bCs/>
                <w:color w:val="000000" w:themeColor="text1"/>
                <w:sz w:val="28"/>
                <w:szCs w:val="23"/>
                <w:lang w:val="en-US"/>
              </w:rPr>
            </w:pPr>
            <w:r w:rsidRPr="00EB2670">
              <w:rPr>
                <w:rFonts w:ascii="Franklin Gothic Medium" w:hAnsi="Franklin Gothic Medium"/>
                <w:b/>
                <w:bCs/>
                <w:color w:val="000000" w:themeColor="text1"/>
                <w:sz w:val="28"/>
                <w:szCs w:val="23"/>
                <w:lang w:val="en-US"/>
              </w:rPr>
              <w:t>e-mail</w:t>
            </w:r>
          </w:p>
        </w:tc>
        <w:tc>
          <w:tcPr>
            <w:tcW w:w="5528" w:type="dxa"/>
          </w:tcPr>
          <w:p w14:paraId="7A7AB467" w14:textId="77777777" w:rsidR="00376BC9" w:rsidRPr="00EB2670" w:rsidRDefault="00376BC9" w:rsidP="00FA1D74">
            <w:pPr>
              <w:jc w:val="center"/>
              <w:rPr>
                <w:rFonts w:ascii="Franklin Gothic Medium" w:hAnsi="Franklin Gothic Medium"/>
                <w:b/>
                <w:bCs/>
                <w:color w:val="1F497D" w:themeColor="text2"/>
                <w:sz w:val="36"/>
                <w:szCs w:val="23"/>
              </w:rPr>
            </w:pPr>
          </w:p>
        </w:tc>
      </w:tr>
    </w:tbl>
    <w:p w14:paraId="378DAAC6" w14:textId="77777777" w:rsidR="00E272D9" w:rsidRPr="00EB2670" w:rsidRDefault="00E272D9" w:rsidP="00376BC9">
      <w:pPr>
        <w:rPr>
          <w:rFonts w:ascii="Franklin Gothic Medium" w:hAnsi="Franklin Gothic Medium"/>
          <w:b/>
          <w:bCs/>
          <w:color w:val="1F497D" w:themeColor="text2"/>
          <w:sz w:val="32"/>
          <w:szCs w:val="23"/>
        </w:rPr>
      </w:pPr>
    </w:p>
    <w:p w14:paraId="50DD2D2B" w14:textId="254EA846" w:rsidR="00533A60" w:rsidRPr="00CB467F" w:rsidRDefault="00944920" w:rsidP="00533A60">
      <w:pPr>
        <w:rPr>
          <w:rFonts w:ascii="Franklin Gothic Medium" w:hAnsi="Franklin Gothic Medium"/>
          <w:b/>
          <w:bCs/>
          <w:color w:val="1F497D" w:themeColor="text2"/>
          <w:sz w:val="36"/>
          <w:szCs w:val="23"/>
          <w:lang w:val="en-US"/>
        </w:rPr>
      </w:pPr>
      <w:r w:rsidRPr="00944920">
        <w:rPr>
          <w:rFonts w:ascii="Franklin Gothic Medium" w:hAnsi="Franklin Gothic Medium"/>
          <w:b/>
          <w:bCs/>
          <w:color w:val="1F497D" w:themeColor="text2"/>
          <w:sz w:val="36"/>
          <w:szCs w:val="23"/>
        </w:rPr>
        <w:t xml:space="preserve">Legal </w:t>
      </w:r>
      <w:proofErr w:type="spellStart"/>
      <w:r w:rsidRPr="00944920">
        <w:rPr>
          <w:rFonts w:ascii="Franklin Gothic Medium" w:hAnsi="Franklin Gothic Medium"/>
          <w:b/>
          <w:bCs/>
          <w:color w:val="1F497D" w:themeColor="text2"/>
          <w:sz w:val="36"/>
          <w:szCs w:val="23"/>
        </w:rPr>
        <w:t>Representative</w:t>
      </w:r>
      <w:proofErr w:type="spellEnd"/>
      <w:r w:rsidRPr="00944920">
        <w:rPr>
          <w:rFonts w:ascii="Franklin Gothic Medium" w:hAnsi="Franklin Gothic Medium"/>
          <w:b/>
          <w:bCs/>
          <w:color w:val="1F497D" w:themeColor="text2"/>
          <w:sz w:val="36"/>
          <w:szCs w:val="23"/>
        </w:rPr>
        <w:t xml:space="preserve"> </w:t>
      </w:r>
      <w:r w:rsidR="00CB467F">
        <w:rPr>
          <w:rFonts w:ascii="Franklin Gothic Medium" w:hAnsi="Franklin Gothic Medium"/>
          <w:b/>
          <w:bCs/>
          <w:color w:val="1F497D" w:themeColor="text2"/>
          <w:sz w:val="36"/>
          <w:szCs w:val="23"/>
          <w:lang w:val="en-US"/>
        </w:rPr>
        <w:t>Details</w:t>
      </w:r>
    </w:p>
    <w:tbl>
      <w:tblPr>
        <w:tblStyle w:val="a6"/>
        <w:tblW w:w="8755" w:type="dxa"/>
        <w:tblLook w:val="04A0" w:firstRow="1" w:lastRow="0" w:firstColumn="1" w:lastColumn="0" w:noHBand="0" w:noVBand="1"/>
      </w:tblPr>
      <w:tblGrid>
        <w:gridCol w:w="3227"/>
        <w:gridCol w:w="5528"/>
      </w:tblGrid>
      <w:tr w:rsidR="009D4B69" w:rsidRPr="00EB2670" w14:paraId="1B1D5278" w14:textId="77777777" w:rsidTr="002915E2">
        <w:tc>
          <w:tcPr>
            <w:tcW w:w="3227" w:type="dxa"/>
          </w:tcPr>
          <w:p w14:paraId="501AB026" w14:textId="1EB626C6" w:rsidR="009D4B69" w:rsidRPr="00CB467F" w:rsidRDefault="00CB467F" w:rsidP="00FA1D74">
            <w:pPr>
              <w:rPr>
                <w:rFonts w:ascii="Franklin Gothic Medium" w:hAnsi="Franklin Gothic Medium"/>
                <w:b/>
                <w:bCs/>
                <w:color w:val="000000" w:themeColor="text1"/>
                <w:sz w:val="28"/>
                <w:szCs w:val="23"/>
                <w:lang w:val="en-US"/>
              </w:rPr>
            </w:pPr>
            <w:r>
              <w:rPr>
                <w:rFonts w:ascii="Franklin Gothic Medium" w:hAnsi="Franklin Gothic Medium"/>
                <w:b/>
                <w:bCs/>
                <w:color w:val="000000" w:themeColor="text1"/>
                <w:sz w:val="28"/>
                <w:szCs w:val="23"/>
                <w:lang w:val="en-US"/>
              </w:rPr>
              <w:t>Name/ Surname</w:t>
            </w:r>
          </w:p>
        </w:tc>
        <w:tc>
          <w:tcPr>
            <w:tcW w:w="5528" w:type="dxa"/>
          </w:tcPr>
          <w:p w14:paraId="2AE4805E"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FC1F39" w14:paraId="7351A3A6" w14:textId="77777777" w:rsidTr="002915E2">
        <w:tc>
          <w:tcPr>
            <w:tcW w:w="3227" w:type="dxa"/>
          </w:tcPr>
          <w:p w14:paraId="4EF18189" w14:textId="349C9D07" w:rsidR="009D4B69" w:rsidRPr="00693AD8" w:rsidRDefault="00944920" w:rsidP="00FA1D74">
            <w:pPr>
              <w:rPr>
                <w:rFonts w:ascii="Franklin Gothic Medium" w:hAnsi="Franklin Gothic Medium"/>
                <w:b/>
                <w:bCs/>
                <w:color w:val="000000" w:themeColor="text1"/>
                <w:sz w:val="28"/>
                <w:szCs w:val="23"/>
                <w:lang w:val="en-US"/>
              </w:rPr>
            </w:pPr>
            <w:r>
              <w:rPr>
                <w:rFonts w:ascii="Franklin Gothic Medium" w:hAnsi="Franklin Gothic Medium"/>
                <w:b/>
                <w:bCs/>
                <w:color w:val="000000" w:themeColor="text1"/>
                <w:sz w:val="28"/>
                <w:szCs w:val="23"/>
                <w:lang w:val="en-US"/>
              </w:rPr>
              <w:t>Tax Identification Number (T.I.N)</w:t>
            </w:r>
          </w:p>
        </w:tc>
        <w:tc>
          <w:tcPr>
            <w:tcW w:w="5528" w:type="dxa"/>
          </w:tcPr>
          <w:p w14:paraId="22034A99" w14:textId="77777777" w:rsidR="009D4B69" w:rsidRPr="00944920" w:rsidRDefault="009D4B69" w:rsidP="00FA1D74">
            <w:pPr>
              <w:jc w:val="center"/>
              <w:rPr>
                <w:rFonts w:ascii="Franklin Gothic Medium" w:hAnsi="Franklin Gothic Medium"/>
                <w:b/>
                <w:bCs/>
                <w:color w:val="1F497D" w:themeColor="text2"/>
                <w:sz w:val="36"/>
                <w:szCs w:val="23"/>
                <w:lang w:val="en-US"/>
              </w:rPr>
            </w:pPr>
          </w:p>
        </w:tc>
      </w:tr>
      <w:tr w:rsidR="009D4B69" w:rsidRPr="00EB2670" w14:paraId="1934AAF8" w14:textId="77777777" w:rsidTr="002915E2">
        <w:tc>
          <w:tcPr>
            <w:tcW w:w="3227" w:type="dxa"/>
          </w:tcPr>
          <w:p w14:paraId="1E000FDE" w14:textId="43259DAF" w:rsidR="009D4B69" w:rsidRPr="00EB2670" w:rsidRDefault="00944920" w:rsidP="00FA1D74">
            <w:pPr>
              <w:rPr>
                <w:rFonts w:ascii="Franklin Gothic Medium" w:hAnsi="Franklin Gothic Medium"/>
                <w:b/>
                <w:bCs/>
                <w:color w:val="000000" w:themeColor="text1"/>
                <w:sz w:val="28"/>
                <w:szCs w:val="23"/>
              </w:rPr>
            </w:pPr>
            <w:proofErr w:type="spellStart"/>
            <w:r w:rsidRPr="00944920">
              <w:rPr>
                <w:rFonts w:ascii="Franklin Gothic Medium" w:hAnsi="Franklin Gothic Medium"/>
                <w:b/>
                <w:bCs/>
                <w:color w:val="000000" w:themeColor="text1"/>
                <w:sz w:val="28"/>
                <w:szCs w:val="23"/>
              </w:rPr>
              <w:t>Registered</w:t>
            </w:r>
            <w:proofErr w:type="spellEnd"/>
            <w:r w:rsidRPr="00944920">
              <w:rPr>
                <w:rFonts w:ascii="Franklin Gothic Medium" w:hAnsi="Franklin Gothic Medium"/>
                <w:b/>
                <w:bCs/>
                <w:color w:val="000000" w:themeColor="text1"/>
                <w:sz w:val="28"/>
                <w:szCs w:val="23"/>
              </w:rPr>
              <w:t xml:space="preserve"> </w:t>
            </w:r>
            <w:r w:rsidR="00CB467F">
              <w:rPr>
                <w:rFonts w:ascii="Franklin Gothic Medium" w:hAnsi="Franklin Gothic Medium"/>
                <w:b/>
                <w:bCs/>
                <w:color w:val="000000" w:themeColor="text1"/>
                <w:sz w:val="28"/>
                <w:szCs w:val="23"/>
                <w:lang w:val="en-US"/>
              </w:rPr>
              <w:t xml:space="preserve">Business </w:t>
            </w:r>
            <w:proofErr w:type="spellStart"/>
            <w:r w:rsidRPr="00944920">
              <w:rPr>
                <w:rFonts w:ascii="Franklin Gothic Medium" w:hAnsi="Franklin Gothic Medium"/>
                <w:b/>
                <w:bCs/>
                <w:color w:val="000000" w:themeColor="text1"/>
                <w:sz w:val="28"/>
                <w:szCs w:val="23"/>
              </w:rPr>
              <w:t>Address</w:t>
            </w:r>
            <w:proofErr w:type="spellEnd"/>
          </w:p>
        </w:tc>
        <w:tc>
          <w:tcPr>
            <w:tcW w:w="5528" w:type="dxa"/>
          </w:tcPr>
          <w:p w14:paraId="036D752B"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5EF35F44" w14:textId="77777777" w:rsidTr="002915E2">
        <w:tc>
          <w:tcPr>
            <w:tcW w:w="3227" w:type="dxa"/>
            <w:vMerge w:val="restart"/>
          </w:tcPr>
          <w:p w14:paraId="148FB65A" w14:textId="6BCEB7DA" w:rsidR="009D4B69" w:rsidRPr="00CB467F" w:rsidRDefault="00944920" w:rsidP="00FA1D74">
            <w:pPr>
              <w:rPr>
                <w:rFonts w:ascii="Franklin Gothic Medium" w:hAnsi="Franklin Gothic Medium"/>
                <w:b/>
                <w:bCs/>
                <w:color w:val="000000" w:themeColor="text1"/>
                <w:sz w:val="28"/>
                <w:szCs w:val="23"/>
                <w:lang w:val="en-US"/>
              </w:rPr>
            </w:pPr>
            <w:proofErr w:type="spellStart"/>
            <w:r w:rsidRPr="00944920">
              <w:rPr>
                <w:rFonts w:ascii="Franklin Gothic Medium" w:hAnsi="Franklin Gothic Medium"/>
                <w:b/>
                <w:bCs/>
                <w:color w:val="000000" w:themeColor="text1"/>
                <w:sz w:val="28"/>
                <w:szCs w:val="23"/>
              </w:rPr>
              <w:t>Contact</w:t>
            </w:r>
            <w:proofErr w:type="spellEnd"/>
            <w:r w:rsidRPr="00944920">
              <w:rPr>
                <w:rFonts w:ascii="Franklin Gothic Medium" w:hAnsi="Franklin Gothic Medium"/>
                <w:b/>
                <w:bCs/>
                <w:color w:val="000000" w:themeColor="text1"/>
                <w:sz w:val="28"/>
                <w:szCs w:val="23"/>
              </w:rPr>
              <w:t xml:space="preserve"> </w:t>
            </w:r>
            <w:r w:rsidR="00CB467F">
              <w:rPr>
                <w:rFonts w:ascii="Franklin Gothic Medium" w:hAnsi="Franklin Gothic Medium"/>
                <w:b/>
                <w:bCs/>
                <w:color w:val="000000" w:themeColor="text1"/>
                <w:sz w:val="28"/>
                <w:szCs w:val="23"/>
                <w:lang w:val="en-US"/>
              </w:rPr>
              <w:t>Number</w:t>
            </w:r>
          </w:p>
        </w:tc>
        <w:tc>
          <w:tcPr>
            <w:tcW w:w="5528" w:type="dxa"/>
          </w:tcPr>
          <w:p w14:paraId="68534E65"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602D5ABA" w14:textId="77777777" w:rsidTr="002915E2">
        <w:tc>
          <w:tcPr>
            <w:tcW w:w="3227" w:type="dxa"/>
            <w:vMerge/>
          </w:tcPr>
          <w:p w14:paraId="399AA718" w14:textId="77777777" w:rsidR="009D4B69" w:rsidRPr="00EB2670" w:rsidRDefault="009D4B69" w:rsidP="00FA1D74">
            <w:pPr>
              <w:rPr>
                <w:rFonts w:ascii="Franklin Gothic Medium" w:hAnsi="Franklin Gothic Medium"/>
                <w:b/>
                <w:bCs/>
                <w:color w:val="000000" w:themeColor="text1"/>
                <w:sz w:val="28"/>
                <w:szCs w:val="23"/>
              </w:rPr>
            </w:pPr>
          </w:p>
        </w:tc>
        <w:tc>
          <w:tcPr>
            <w:tcW w:w="5528" w:type="dxa"/>
          </w:tcPr>
          <w:p w14:paraId="7D091310"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7DA10590" w14:textId="77777777" w:rsidTr="002915E2">
        <w:tc>
          <w:tcPr>
            <w:tcW w:w="3227" w:type="dxa"/>
          </w:tcPr>
          <w:p w14:paraId="46FE6C9C" w14:textId="77777777" w:rsidR="009D4B69" w:rsidRPr="00EB2670" w:rsidRDefault="009D4B69" w:rsidP="00FA1D74">
            <w:pPr>
              <w:rPr>
                <w:rFonts w:ascii="Franklin Gothic Medium" w:hAnsi="Franklin Gothic Medium"/>
                <w:b/>
                <w:bCs/>
                <w:color w:val="000000" w:themeColor="text1"/>
                <w:sz w:val="28"/>
                <w:szCs w:val="23"/>
                <w:lang w:val="en-US"/>
              </w:rPr>
            </w:pPr>
            <w:r w:rsidRPr="00EB2670">
              <w:rPr>
                <w:rFonts w:ascii="Franklin Gothic Medium" w:hAnsi="Franklin Gothic Medium"/>
                <w:b/>
                <w:bCs/>
                <w:color w:val="000000" w:themeColor="text1"/>
                <w:sz w:val="28"/>
                <w:szCs w:val="23"/>
                <w:lang w:val="en-US"/>
              </w:rPr>
              <w:t>e-mail</w:t>
            </w:r>
          </w:p>
        </w:tc>
        <w:tc>
          <w:tcPr>
            <w:tcW w:w="5528" w:type="dxa"/>
          </w:tcPr>
          <w:p w14:paraId="29996AC0" w14:textId="77777777" w:rsidR="009D4B69" w:rsidRPr="00EB2670" w:rsidRDefault="009D4B69" w:rsidP="00FA1D74">
            <w:pPr>
              <w:jc w:val="center"/>
              <w:rPr>
                <w:rFonts w:ascii="Franklin Gothic Medium" w:hAnsi="Franklin Gothic Medium"/>
                <w:b/>
                <w:bCs/>
                <w:color w:val="1F497D" w:themeColor="text2"/>
                <w:sz w:val="36"/>
                <w:szCs w:val="23"/>
              </w:rPr>
            </w:pPr>
          </w:p>
        </w:tc>
      </w:tr>
      <w:tr w:rsidR="00B64B3F" w:rsidRPr="00EB2670" w14:paraId="1E88AFB8" w14:textId="77777777" w:rsidTr="002915E2">
        <w:trPr>
          <w:trHeight w:val="763"/>
        </w:trPr>
        <w:tc>
          <w:tcPr>
            <w:tcW w:w="3227" w:type="dxa"/>
            <w:tcBorders>
              <w:top w:val="nil"/>
              <w:left w:val="nil"/>
              <w:bottom w:val="nil"/>
              <w:right w:val="single" w:sz="4" w:space="0" w:color="auto"/>
            </w:tcBorders>
          </w:tcPr>
          <w:p w14:paraId="255F5FE6" w14:textId="5524A9BC" w:rsidR="00B64B3F" w:rsidRPr="00EB2670" w:rsidRDefault="00944920" w:rsidP="00FA1D74">
            <w:pPr>
              <w:jc w:val="center"/>
              <w:rPr>
                <w:rFonts w:ascii="Franklin Gothic Medium" w:hAnsi="Franklin Gothic Medium"/>
                <w:b/>
                <w:color w:val="1F497D" w:themeColor="text2"/>
                <w:sz w:val="36"/>
              </w:rPr>
            </w:pPr>
            <w:proofErr w:type="spellStart"/>
            <w:r w:rsidRPr="00944920">
              <w:rPr>
                <w:rFonts w:ascii="Franklin Gothic Medium" w:hAnsi="Franklin Gothic Medium"/>
                <w:b/>
                <w:color w:val="000000" w:themeColor="text1"/>
                <w:sz w:val="36"/>
              </w:rPr>
              <w:t>Signature</w:t>
            </w:r>
            <w:proofErr w:type="spellEnd"/>
          </w:p>
        </w:tc>
        <w:tc>
          <w:tcPr>
            <w:tcW w:w="5528" w:type="dxa"/>
            <w:tcBorders>
              <w:left w:val="single" w:sz="4" w:space="0" w:color="auto"/>
            </w:tcBorders>
          </w:tcPr>
          <w:p w14:paraId="56EEB453" w14:textId="77777777" w:rsidR="00B64B3F" w:rsidRPr="00EB2670" w:rsidRDefault="00B64B3F" w:rsidP="00FA1D74">
            <w:pPr>
              <w:jc w:val="center"/>
              <w:rPr>
                <w:rFonts w:ascii="Franklin Gothic Medium" w:hAnsi="Franklin Gothic Medium"/>
                <w:color w:val="1F497D" w:themeColor="text2"/>
                <w:sz w:val="36"/>
              </w:rPr>
            </w:pPr>
          </w:p>
        </w:tc>
      </w:tr>
    </w:tbl>
    <w:p w14:paraId="7CC9D7F8" w14:textId="77777777" w:rsidR="00086702" w:rsidRPr="00EB2670" w:rsidRDefault="00086702" w:rsidP="00533A60">
      <w:pPr>
        <w:rPr>
          <w:rFonts w:ascii="Franklin Gothic Medium" w:hAnsi="Franklin Gothic Medium"/>
          <w:b/>
          <w:bCs/>
          <w:color w:val="1F497D" w:themeColor="text2"/>
          <w:sz w:val="36"/>
          <w:szCs w:val="23"/>
        </w:rPr>
      </w:pPr>
    </w:p>
    <w:p w14:paraId="561C9AA5" w14:textId="139BB4E8" w:rsidR="00F727EC" w:rsidRPr="00F727EC" w:rsidRDefault="00F727EC" w:rsidP="00F727EC">
      <w:pPr>
        <w:autoSpaceDE w:val="0"/>
        <w:autoSpaceDN w:val="0"/>
        <w:adjustRightInd w:val="0"/>
        <w:spacing w:after="0" w:line="240" w:lineRule="auto"/>
        <w:rPr>
          <w:rFonts w:ascii="Franklin Gothic Medium" w:hAnsi="Franklin Gothic Medium" w:cstheme="minorHAnsi"/>
          <w:color w:val="000000"/>
          <w:lang w:val="en-US"/>
        </w:rPr>
      </w:pPr>
      <w:r w:rsidRPr="00F727EC">
        <w:rPr>
          <w:rFonts w:ascii="Franklin Gothic Medium" w:hAnsi="Franklin Gothic Medium" w:cstheme="minorHAnsi"/>
          <w:color w:val="000000"/>
          <w:lang w:val="en-US"/>
        </w:rPr>
        <w:t xml:space="preserve">The Candidate </w:t>
      </w:r>
      <w:r w:rsidR="00A533D8">
        <w:rPr>
          <w:rFonts w:ascii="Franklin Gothic Medium" w:hAnsi="Franklin Gothic Medium" w:cstheme="minorHAnsi"/>
          <w:color w:val="000000"/>
          <w:lang w:val="en-US"/>
        </w:rPr>
        <w:t>YPAHES</w:t>
      </w:r>
      <w:r w:rsidRPr="00F727EC">
        <w:rPr>
          <w:rFonts w:ascii="Franklin Gothic Medium" w:hAnsi="Franklin Gothic Medium" w:cstheme="minorHAnsi"/>
          <w:color w:val="000000"/>
          <w:lang w:val="en-US"/>
        </w:rPr>
        <w:t xml:space="preserve"> Provider shall complete the following compliance tables, bearing full responsibility for the accuracy of the information provided.</w:t>
      </w:r>
    </w:p>
    <w:p w14:paraId="22659046" w14:textId="0EB7C053" w:rsidR="00F727EC" w:rsidRPr="00F727EC" w:rsidRDefault="00F727EC" w:rsidP="00F727EC">
      <w:pPr>
        <w:autoSpaceDE w:val="0"/>
        <w:autoSpaceDN w:val="0"/>
        <w:adjustRightInd w:val="0"/>
        <w:spacing w:after="0" w:line="240" w:lineRule="auto"/>
        <w:rPr>
          <w:rFonts w:ascii="Franklin Gothic Medium" w:hAnsi="Franklin Gothic Medium" w:cstheme="minorHAnsi"/>
          <w:color w:val="000000"/>
          <w:lang w:val="en-US"/>
        </w:rPr>
      </w:pPr>
      <w:r w:rsidRPr="00F727EC">
        <w:rPr>
          <w:rFonts w:ascii="Franklin Gothic Medium" w:hAnsi="Franklin Gothic Medium" w:cstheme="minorHAnsi"/>
          <w:color w:val="000000"/>
          <w:lang w:val="en-US"/>
        </w:rPr>
        <w:t>It is noted that this document constitutes a Solemn Declaration under L</w:t>
      </w:r>
      <w:r w:rsidR="00CB467F">
        <w:rPr>
          <w:rFonts w:ascii="Franklin Gothic Medium" w:hAnsi="Franklin Gothic Medium" w:cstheme="minorHAnsi"/>
          <w:color w:val="000000"/>
          <w:lang w:val="en-US"/>
        </w:rPr>
        <w:t xml:space="preserve">. </w:t>
      </w:r>
      <w:r w:rsidRPr="00F727EC">
        <w:rPr>
          <w:rFonts w:ascii="Franklin Gothic Medium" w:hAnsi="Franklin Gothic Medium" w:cstheme="minorHAnsi"/>
          <w:color w:val="000000"/>
          <w:lang w:val="en-US"/>
        </w:rPr>
        <w:t>1599/1986. It is completed under the personal liability of the undersigned and with knowledge of the penalties provided for in par</w:t>
      </w:r>
      <w:r w:rsidR="00CB467F">
        <w:rPr>
          <w:rFonts w:ascii="Franklin Gothic Medium" w:hAnsi="Franklin Gothic Medium" w:cstheme="minorHAnsi"/>
          <w:color w:val="000000"/>
          <w:lang w:val="en-US"/>
        </w:rPr>
        <w:t>.</w:t>
      </w:r>
      <w:r w:rsidRPr="00F727EC">
        <w:rPr>
          <w:rFonts w:ascii="Franklin Gothic Medium" w:hAnsi="Franklin Gothic Medium" w:cstheme="minorHAnsi"/>
          <w:color w:val="000000"/>
          <w:lang w:val="en-US"/>
        </w:rPr>
        <w:t xml:space="preserve"> 6 of Article 22 of L</w:t>
      </w:r>
      <w:r w:rsidR="00CB467F">
        <w:rPr>
          <w:rFonts w:ascii="Franklin Gothic Medium" w:hAnsi="Franklin Gothic Medium" w:cstheme="minorHAnsi"/>
          <w:color w:val="000000"/>
          <w:lang w:val="en-US"/>
        </w:rPr>
        <w:t xml:space="preserve">. </w:t>
      </w:r>
      <w:r w:rsidRPr="00F727EC">
        <w:rPr>
          <w:rFonts w:ascii="Franklin Gothic Medium" w:hAnsi="Franklin Gothic Medium" w:cstheme="minorHAnsi"/>
          <w:color w:val="000000"/>
          <w:lang w:val="en-US"/>
        </w:rPr>
        <w:t>1599/1986.</w:t>
      </w:r>
    </w:p>
    <w:p w14:paraId="105DA99B" w14:textId="04151A08" w:rsidR="00C702AF" w:rsidRDefault="00826929" w:rsidP="00A35BAF">
      <w:pPr>
        <w:autoSpaceDE w:val="0"/>
        <w:autoSpaceDN w:val="0"/>
        <w:adjustRightInd w:val="0"/>
        <w:spacing w:after="0" w:line="240" w:lineRule="auto"/>
        <w:rPr>
          <w:rFonts w:ascii="Franklin Gothic Medium" w:hAnsi="Franklin Gothic Medium"/>
          <w:b/>
          <w:bCs/>
          <w:color w:val="1F497D" w:themeColor="text2"/>
          <w:sz w:val="28"/>
          <w:szCs w:val="28"/>
          <w:lang w:val="en-US"/>
        </w:rPr>
      </w:pPr>
      <w:r>
        <w:rPr>
          <w:rFonts w:ascii="Franklin Gothic Medium" w:hAnsi="Franklin Gothic Medium"/>
          <w:b/>
          <w:bCs/>
          <w:color w:val="1F497D" w:themeColor="text2"/>
          <w:sz w:val="28"/>
          <w:szCs w:val="28"/>
          <w:lang w:val="en-US"/>
        </w:rPr>
        <w:lastRenderedPageBreak/>
        <w:t>Brief</w:t>
      </w:r>
      <w:r w:rsidR="00F727EC" w:rsidRPr="00F727EC">
        <w:rPr>
          <w:rFonts w:ascii="Franklin Gothic Medium" w:hAnsi="Franklin Gothic Medium"/>
          <w:b/>
          <w:bCs/>
          <w:color w:val="1F497D" w:themeColor="text2"/>
          <w:sz w:val="28"/>
          <w:szCs w:val="28"/>
          <w:lang w:val="en-US"/>
        </w:rPr>
        <w:t xml:space="preserve"> Completion </w:t>
      </w:r>
      <w:r>
        <w:rPr>
          <w:rFonts w:ascii="Franklin Gothic Medium" w:hAnsi="Franklin Gothic Medium"/>
          <w:b/>
          <w:bCs/>
          <w:color w:val="1F497D" w:themeColor="text2"/>
          <w:sz w:val="28"/>
          <w:szCs w:val="28"/>
          <w:lang w:val="en-US"/>
        </w:rPr>
        <w:t>Guide</w:t>
      </w:r>
    </w:p>
    <w:p w14:paraId="389459CE" w14:textId="77777777" w:rsidR="00826929" w:rsidRPr="00F727EC" w:rsidRDefault="00826929" w:rsidP="00A35BAF">
      <w:pPr>
        <w:autoSpaceDE w:val="0"/>
        <w:autoSpaceDN w:val="0"/>
        <w:adjustRightInd w:val="0"/>
        <w:spacing w:after="0" w:line="240" w:lineRule="auto"/>
        <w:rPr>
          <w:rFonts w:ascii="Franklin Gothic Medium" w:hAnsi="Franklin Gothic Medium" w:cs="Cambria"/>
          <w:color w:val="000000"/>
          <w:sz w:val="28"/>
          <w:szCs w:val="28"/>
          <w:lang w:val="en-US"/>
        </w:rPr>
      </w:pPr>
    </w:p>
    <w:p w14:paraId="0ECB9F07" w14:textId="2BDD5729" w:rsidR="00F727EC" w:rsidRPr="00F727EC" w:rsidRDefault="00F727EC" w:rsidP="00F727EC">
      <w:pPr>
        <w:jc w:val="both"/>
        <w:rPr>
          <w:rFonts w:ascii="Franklin Gothic Medium" w:hAnsi="Franklin Gothic Medium" w:cstheme="minorHAnsi"/>
          <w:color w:val="000000"/>
          <w:lang w:val="en-US"/>
        </w:rPr>
      </w:pPr>
      <w:r w:rsidRPr="00F727EC">
        <w:rPr>
          <w:rFonts w:ascii="Franklin Gothic Medium" w:hAnsi="Franklin Gothic Medium" w:cstheme="minorHAnsi"/>
          <w:color w:val="000000"/>
          <w:lang w:val="en-US"/>
        </w:rPr>
        <w:t xml:space="preserve">In order to document the software approval process for electronic invoicing issuance, the Candidate </w:t>
      </w:r>
      <w:r w:rsidR="00A533D8">
        <w:rPr>
          <w:rFonts w:ascii="Franklin Gothic Medium" w:hAnsi="Franklin Gothic Medium" w:cstheme="minorHAnsi"/>
          <w:color w:val="000000"/>
          <w:lang w:val="en-US"/>
        </w:rPr>
        <w:t>YPAHES</w:t>
      </w:r>
      <w:r w:rsidRPr="00F727EC">
        <w:rPr>
          <w:rFonts w:ascii="Franklin Gothic Medium" w:hAnsi="Franklin Gothic Medium" w:cstheme="minorHAnsi"/>
          <w:color w:val="000000"/>
          <w:lang w:val="en-US"/>
        </w:rPr>
        <w:t xml:space="preserve"> Provider must complete all the tables contained herein exactly as recorded, maintaining the same sequence and structure.</w:t>
      </w:r>
    </w:p>
    <w:p w14:paraId="64752684" w14:textId="06E51265" w:rsidR="00A35BAF" w:rsidRPr="00180B96" w:rsidRDefault="00F727EC" w:rsidP="00161521">
      <w:pPr>
        <w:jc w:val="both"/>
        <w:rPr>
          <w:rFonts w:ascii="Franklin Gothic Medium" w:hAnsi="Franklin Gothic Medium" w:cstheme="minorHAnsi"/>
          <w:lang w:val="en-US"/>
        </w:rPr>
      </w:pPr>
      <w:r w:rsidRPr="00F727EC">
        <w:rPr>
          <w:rFonts w:ascii="Franklin Gothic Medium" w:hAnsi="Franklin Gothic Medium" w:cstheme="minorHAnsi"/>
          <w:color w:val="000000"/>
          <w:lang w:val="en-US"/>
        </w:rPr>
        <w:t xml:space="preserve">The Candidate </w:t>
      </w:r>
      <w:r w:rsidR="00A533D8">
        <w:rPr>
          <w:rFonts w:ascii="Franklin Gothic Medium" w:hAnsi="Franklin Gothic Medium" w:cstheme="minorHAnsi"/>
          <w:color w:val="000000"/>
          <w:lang w:val="en-US"/>
        </w:rPr>
        <w:t>YPAHES</w:t>
      </w:r>
      <w:r w:rsidRPr="00F727EC">
        <w:rPr>
          <w:rFonts w:ascii="Franklin Gothic Medium" w:hAnsi="Franklin Gothic Medium" w:cstheme="minorHAnsi"/>
          <w:color w:val="000000"/>
          <w:lang w:val="en-US"/>
        </w:rPr>
        <w:t xml:space="preserve"> Provider is required to respond to every line of the tables, providing brief explanations</w:t>
      </w:r>
      <w:r w:rsidR="00092779">
        <w:rPr>
          <w:rFonts w:ascii="Franklin Gothic Medium" w:hAnsi="Franklin Gothic Medium" w:cstheme="minorHAnsi"/>
          <w:color w:val="000000"/>
          <w:lang w:val="en-US"/>
        </w:rPr>
        <w:t>,</w:t>
      </w:r>
      <w:r w:rsidRPr="00F727EC">
        <w:rPr>
          <w:rFonts w:ascii="Franklin Gothic Medium" w:hAnsi="Franklin Gothic Medium" w:cstheme="minorHAnsi"/>
          <w:color w:val="000000"/>
          <w:lang w:val="en-US"/>
        </w:rPr>
        <w:t xml:space="preserve"> where applicable, </w:t>
      </w:r>
      <w:r w:rsidR="00092779">
        <w:rPr>
          <w:rFonts w:ascii="Franklin Gothic Medium" w:hAnsi="Franklin Gothic Medium" w:cstheme="minorHAnsi"/>
          <w:color w:val="000000"/>
          <w:lang w:val="en-US"/>
        </w:rPr>
        <w:t>and</w:t>
      </w:r>
      <w:r w:rsidRPr="00F727EC">
        <w:rPr>
          <w:rFonts w:ascii="Franklin Gothic Medium" w:hAnsi="Franklin Gothic Medium" w:cstheme="minorHAnsi"/>
          <w:color w:val="000000"/>
          <w:lang w:val="en-US"/>
        </w:rPr>
        <w:t xml:space="preserve"> clear reference cross-links to the supporting documentation submitted within the </w:t>
      </w:r>
      <w:r w:rsidR="00A533D8">
        <w:rPr>
          <w:rFonts w:ascii="Franklin Gothic Medium" w:hAnsi="Franklin Gothic Medium" w:cstheme="minorHAnsi"/>
          <w:color w:val="000000"/>
          <w:lang w:val="en-US"/>
        </w:rPr>
        <w:t>YPAHES</w:t>
      </w:r>
      <w:r w:rsidRPr="00F727EC">
        <w:rPr>
          <w:rFonts w:ascii="Franklin Gothic Medium" w:hAnsi="Franklin Gothic Medium" w:cstheme="minorHAnsi"/>
          <w:color w:val="000000"/>
          <w:lang w:val="en-US"/>
        </w:rPr>
        <w:t xml:space="preserve"> Licensing Request Submission Form</w:t>
      </w:r>
      <w:r w:rsidR="00092779">
        <w:rPr>
          <w:rFonts w:ascii="Franklin Gothic Medium" w:hAnsi="Franklin Gothic Medium" w:cstheme="minorHAnsi"/>
          <w:color w:val="000000"/>
          <w:lang w:val="en-US"/>
        </w:rPr>
        <w:t xml:space="preserve"> </w:t>
      </w:r>
      <w:r w:rsidRPr="00F727EC">
        <w:rPr>
          <w:rFonts w:ascii="Franklin Gothic Medium" w:hAnsi="Franklin Gothic Medium" w:cstheme="minorHAnsi"/>
          <w:color w:val="000000"/>
          <w:lang w:val="en-US"/>
        </w:rPr>
        <w:t>A.1112/</w:t>
      </w:r>
      <w:r w:rsidRPr="00180B96">
        <w:rPr>
          <w:rFonts w:ascii="Franklin Gothic Medium" w:hAnsi="Franklin Gothic Medium" w:cstheme="minorHAnsi"/>
          <w:lang w:val="en-US"/>
        </w:rPr>
        <w:t>2025 (</w:t>
      </w:r>
      <w:r w:rsidR="00693AD8" w:rsidRPr="00180B96">
        <w:rPr>
          <w:rFonts w:ascii="Franklin Gothic Medium" w:hAnsi="Franklin Gothic Medium" w:cstheme="minorHAnsi"/>
          <w:lang w:val="en-US"/>
        </w:rPr>
        <w:t>Annex A and Art</w:t>
      </w:r>
      <w:r w:rsidR="00092779">
        <w:rPr>
          <w:rFonts w:ascii="Franklin Gothic Medium" w:hAnsi="Franklin Gothic Medium" w:cstheme="minorHAnsi"/>
          <w:lang w:val="en-US"/>
        </w:rPr>
        <w:t>.</w:t>
      </w:r>
      <w:r w:rsidR="00693AD8" w:rsidRPr="00180B96">
        <w:rPr>
          <w:rFonts w:ascii="Franklin Gothic Medium" w:hAnsi="Franklin Gothic Medium" w:cstheme="minorHAnsi"/>
          <w:lang w:val="en-US"/>
        </w:rPr>
        <w:t>4</w:t>
      </w:r>
      <w:r w:rsidR="005D229A" w:rsidRPr="00180B96">
        <w:rPr>
          <w:rFonts w:ascii="Franklin Gothic Medium" w:hAnsi="Franklin Gothic Medium" w:cstheme="minorHAnsi"/>
          <w:lang w:val="en-US"/>
        </w:rPr>
        <w:t xml:space="preserve"> par.</w:t>
      </w:r>
      <w:r w:rsidR="00693AD8" w:rsidRPr="00180B96">
        <w:rPr>
          <w:rFonts w:ascii="Franklin Gothic Medium" w:hAnsi="Franklin Gothic Medium" w:cstheme="minorHAnsi"/>
          <w:lang w:val="en-US"/>
        </w:rPr>
        <w:t>2 A.1112</w:t>
      </w:r>
      <w:r w:rsidR="00092779">
        <w:rPr>
          <w:rFonts w:ascii="Franklin Gothic Medium" w:hAnsi="Franklin Gothic Medium" w:cstheme="minorHAnsi"/>
          <w:lang w:val="en-US"/>
        </w:rPr>
        <w:t>_</w:t>
      </w:r>
      <w:r w:rsidR="00693AD8" w:rsidRPr="00180B96">
        <w:rPr>
          <w:rFonts w:ascii="Franklin Gothic Medium" w:hAnsi="Franklin Gothic Medium" w:cstheme="minorHAnsi"/>
          <w:lang w:val="en-US"/>
        </w:rPr>
        <w:t>2025</w:t>
      </w:r>
      <w:r w:rsidRPr="00180B96">
        <w:rPr>
          <w:rFonts w:ascii="Franklin Gothic Medium" w:hAnsi="Franklin Gothic Medium" w:cstheme="minorHAnsi"/>
          <w:lang w:val="en-US"/>
        </w:rPr>
        <w:t>), for the fulfilment of the obligations arising in relation to:</w:t>
      </w:r>
    </w:p>
    <w:p w14:paraId="0A262A43" w14:textId="730ACC01" w:rsidR="00F727EC" w:rsidRPr="00092779" w:rsidRDefault="00092779" w:rsidP="00092779">
      <w:pPr>
        <w:pStyle w:val="a7"/>
        <w:numPr>
          <w:ilvl w:val="0"/>
          <w:numId w:val="6"/>
        </w:numPr>
        <w:autoSpaceDE w:val="0"/>
        <w:autoSpaceDN w:val="0"/>
        <w:adjustRightInd w:val="0"/>
        <w:spacing w:after="0" w:line="240" w:lineRule="auto"/>
        <w:rPr>
          <w:rFonts w:ascii="Franklin Gothic Medium" w:hAnsi="Franklin Gothic Medium" w:cstheme="minorHAnsi"/>
          <w:color w:val="000000"/>
          <w:lang w:val="en-US"/>
        </w:rPr>
      </w:pPr>
      <w:r>
        <w:rPr>
          <w:rFonts w:ascii="Franklin Gothic Medium" w:hAnsi="Franklin Gothic Medium" w:cstheme="minorHAnsi"/>
          <w:color w:val="000000"/>
          <w:lang w:val="en-US"/>
        </w:rPr>
        <w:t>The v</w:t>
      </w:r>
      <w:r w:rsidR="00F727EC" w:rsidRPr="00092779">
        <w:rPr>
          <w:rFonts w:ascii="Franklin Gothic Medium" w:hAnsi="Franklin Gothic Medium" w:cstheme="minorHAnsi"/>
          <w:color w:val="000000"/>
          <w:lang w:val="en-US"/>
        </w:rPr>
        <w:t xml:space="preserve">erification of the correct compliance with the defined technical specifications and operational requirements of A.1112/2025 and A.1017/2020, through interaction </w:t>
      </w:r>
      <w:r>
        <w:rPr>
          <w:rFonts w:ascii="Franklin Gothic Medium" w:hAnsi="Franklin Gothic Medium" w:cstheme="minorHAnsi"/>
          <w:color w:val="000000"/>
          <w:lang w:val="en-US"/>
        </w:rPr>
        <w:t xml:space="preserve">of </w:t>
      </w:r>
      <w:r w:rsidR="00F727EC" w:rsidRPr="00092779">
        <w:rPr>
          <w:rFonts w:ascii="Franklin Gothic Medium" w:hAnsi="Franklin Gothic Medium" w:cstheme="minorHAnsi"/>
          <w:color w:val="000000"/>
          <w:lang w:val="en-US"/>
        </w:rPr>
        <w:t>the REST API of the myDATA digital platform.</w:t>
      </w:r>
    </w:p>
    <w:p w14:paraId="75300249" w14:textId="4E204FD3" w:rsidR="00F727EC" w:rsidRPr="00092779" w:rsidRDefault="00092779" w:rsidP="00092779">
      <w:pPr>
        <w:pStyle w:val="a7"/>
        <w:numPr>
          <w:ilvl w:val="0"/>
          <w:numId w:val="6"/>
        </w:numPr>
        <w:autoSpaceDE w:val="0"/>
        <w:autoSpaceDN w:val="0"/>
        <w:adjustRightInd w:val="0"/>
        <w:spacing w:after="0" w:line="240" w:lineRule="auto"/>
        <w:rPr>
          <w:rFonts w:ascii="Franklin Gothic Medium" w:hAnsi="Franklin Gothic Medium" w:cstheme="minorHAnsi"/>
          <w:color w:val="000000"/>
          <w:lang w:val="en-US"/>
        </w:rPr>
      </w:pPr>
      <w:r>
        <w:rPr>
          <w:rFonts w:ascii="Franklin Gothic Medium" w:hAnsi="Franklin Gothic Medium" w:cstheme="minorHAnsi"/>
          <w:color w:val="000000"/>
          <w:lang w:val="en-US"/>
        </w:rPr>
        <w:t>The v</w:t>
      </w:r>
      <w:r w:rsidR="00F727EC" w:rsidRPr="00092779">
        <w:rPr>
          <w:rFonts w:ascii="Franklin Gothic Medium" w:hAnsi="Franklin Gothic Medium" w:cstheme="minorHAnsi"/>
          <w:color w:val="000000"/>
          <w:lang w:val="en-US"/>
        </w:rPr>
        <w:t xml:space="preserve">erification of the correct compliance with the defined technical specifications and operational requirements of A.1112/2025 and A.1017/2020, </w:t>
      </w:r>
      <w:r>
        <w:rPr>
          <w:rFonts w:ascii="Franklin Gothic Medium" w:hAnsi="Franklin Gothic Medium" w:cstheme="minorHAnsi"/>
          <w:color w:val="000000"/>
          <w:lang w:val="en-US"/>
        </w:rPr>
        <w:t>of</w:t>
      </w:r>
      <w:r w:rsidR="00F727EC" w:rsidRPr="00092779">
        <w:rPr>
          <w:rFonts w:ascii="Franklin Gothic Medium" w:hAnsi="Franklin Gothic Medium" w:cstheme="minorHAnsi"/>
          <w:color w:val="000000"/>
          <w:lang w:val="en-US"/>
        </w:rPr>
        <w:t xml:space="preserve"> the electronic invoicing software under evaluation of the Candidate </w:t>
      </w:r>
      <w:r w:rsidR="00A533D8" w:rsidRPr="00092779">
        <w:rPr>
          <w:rFonts w:ascii="Franklin Gothic Medium" w:hAnsi="Franklin Gothic Medium" w:cstheme="minorHAnsi"/>
          <w:color w:val="000000"/>
          <w:lang w:val="en-US"/>
        </w:rPr>
        <w:t>YPAHES</w:t>
      </w:r>
      <w:r w:rsidR="00F727EC" w:rsidRPr="00092779">
        <w:rPr>
          <w:rFonts w:ascii="Franklin Gothic Medium" w:hAnsi="Franklin Gothic Medium" w:cstheme="minorHAnsi"/>
          <w:color w:val="000000"/>
          <w:lang w:val="en-US"/>
        </w:rPr>
        <w:t xml:space="preserve"> Provider.</w:t>
      </w:r>
    </w:p>
    <w:p w14:paraId="4DD4A254" w14:textId="19D54E00" w:rsidR="00F727EC" w:rsidRPr="00092779" w:rsidRDefault="00F727EC" w:rsidP="00092779">
      <w:pPr>
        <w:pStyle w:val="a7"/>
        <w:numPr>
          <w:ilvl w:val="0"/>
          <w:numId w:val="6"/>
        </w:numPr>
        <w:autoSpaceDE w:val="0"/>
        <w:autoSpaceDN w:val="0"/>
        <w:adjustRightInd w:val="0"/>
        <w:spacing w:after="0" w:line="240" w:lineRule="auto"/>
        <w:rPr>
          <w:rFonts w:ascii="Franklin Gothic Medium" w:hAnsi="Franklin Gothic Medium" w:cstheme="minorHAnsi"/>
          <w:color w:val="000000"/>
          <w:lang w:val="en-US"/>
        </w:rPr>
      </w:pPr>
      <w:r w:rsidRPr="00092779">
        <w:rPr>
          <w:rFonts w:ascii="Franklin Gothic Medium" w:hAnsi="Franklin Gothic Medium" w:cstheme="minorHAnsi"/>
          <w:color w:val="000000"/>
          <w:lang w:val="en-US"/>
        </w:rPr>
        <w:t>The suitability and adequacy of the proposed services requested.</w:t>
      </w:r>
    </w:p>
    <w:p w14:paraId="2C415AA4" w14:textId="77777777" w:rsidR="00A35BAF" w:rsidRPr="00F727EC" w:rsidRDefault="00A35BAF" w:rsidP="00A35BAF">
      <w:pPr>
        <w:autoSpaceDE w:val="0"/>
        <w:autoSpaceDN w:val="0"/>
        <w:adjustRightInd w:val="0"/>
        <w:spacing w:after="0" w:line="240" w:lineRule="auto"/>
        <w:rPr>
          <w:rFonts w:ascii="Franklin Gothic Medium" w:hAnsi="Franklin Gothic Medium" w:cstheme="minorHAnsi"/>
          <w:color w:val="000000"/>
          <w:lang w:val="en-US"/>
        </w:rPr>
      </w:pPr>
    </w:p>
    <w:p w14:paraId="70F2AE56" w14:textId="11042EDB" w:rsidR="001301BB" w:rsidRPr="001301BB" w:rsidRDefault="001301BB" w:rsidP="001301BB">
      <w:pPr>
        <w:autoSpaceDE w:val="0"/>
        <w:autoSpaceDN w:val="0"/>
        <w:adjustRightInd w:val="0"/>
        <w:spacing w:after="0" w:line="240" w:lineRule="auto"/>
        <w:rPr>
          <w:rFonts w:ascii="Franklin Gothic Medium" w:hAnsi="Franklin Gothic Medium" w:cstheme="minorHAnsi"/>
          <w:color w:val="000000"/>
          <w:lang w:val="en-US"/>
        </w:rPr>
      </w:pPr>
      <w:r w:rsidRPr="001301BB">
        <w:rPr>
          <w:rFonts w:ascii="Franklin Gothic Medium" w:hAnsi="Franklin Gothic Medium" w:cstheme="minorHAnsi"/>
          <w:color w:val="000000"/>
          <w:lang w:val="en-US"/>
        </w:rPr>
        <w:t xml:space="preserve">For the smooth and uniform examination process of each submitted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Suitability File, it is essential that each reference corresponds clearly to the relevant articles of A.1112/2025 and A.1017/2020, in the supporting documentation texts, where the Candidate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Provider’s response must be stated clearly and in detail, together with any additional information deemed necessary for forming a more comprehensive overall picture and for more accurate documentation.</w:t>
      </w:r>
    </w:p>
    <w:p w14:paraId="2735851E" w14:textId="77777777" w:rsidR="007E539C" w:rsidRPr="00A533D8" w:rsidRDefault="007E539C" w:rsidP="00A35BAF">
      <w:pPr>
        <w:autoSpaceDE w:val="0"/>
        <w:autoSpaceDN w:val="0"/>
        <w:adjustRightInd w:val="0"/>
        <w:spacing w:after="0" w:line="240" w:lineRule="auto"/>
        <w:rPr>
          <w:rFonts w:ascii="Franklin Gothic Medium" w:hAnsi="Franklin Gothic Medium" w:cstheme="minorHAnsi"/>
          <w:color w:val="000000"/>
          <w:lang w:val="en-US"/>
        </w:rPr>
      </w:pPr>
    </w:p>
    <w:p w14:paraId="09ED92A6" w14:textId="302AB864" w:rsidR="00DB31BC" w:rsidRDefault="001301BB" w:rsidP="00A35BAF">
      <w:pPr>
        <w:autoSpaceDE w:val="0"/>
        <w:autoSpaceDN w:val="0"/>
        <w:adjustRightInd w:val="0"/>
        <w:spacing w:after="0" w:line="240" w:lineRule="auto"/>
        <w:rPr>
          <w:rFonts w:ascii="Franklin Gothic Medium" w:hAnsi="Franklin Gothic Medium" w:cstheme="minorHAnsi"/>
          <w:color w:val="000000"/>
          <w:lang w:val="en-US"/>
        </w:rPr>
      </w:pPr>
      <w:r w:rsidRPr="001301BB">
        <w:rPr>
          <w:rFonts w:ascii="Franklin Gothic Medium" w:hAnsi="Franklin Gothic Medium" w:cstheme="minorHAnsi"/>
          <w:color w:val="000000"/>
          <w:lang w:val="en-US"/>
        </w:rPr>
        <w:t xml:space="preserve">The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w:t>
      </w:r>
      <w:r w:rsidR="0096693C" w:rsidRPr="0096693C">
        <w:rPr>
          <w:rFonts w:ascii="Franklin Gothic Medium" w:hAnsi="Franklin Gothic Medium" w:cstheme="minorHAnsi"/>
          <w:color w:val="000000"/>
          <w:lang w:val="en-US"/>
        </w:rPr>
        <w:t xml:space="preserve">Audit Committee </w:t>
      </w:r>
      <w:r w:rsidRPr="001301BB">
        <w:rPr>
          <w:rFonts w:ascii="Franklin Gothic Medium" w:hAnsi="Franklin Gothic Medium" w:cstheme="minorHAnsi"/>
          <w:color w:val="000000"/>
          <w:lang w:val="en-US"/>
        </w:rPr>
        <w:t xml:space="preserve">evaluates, at its discretion, the information provided during the technical and operational assessment process. The technical and operational completeness of the entire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Suitability File constitutes the criteri</w:t>
      </w:r>
      <w:r w:rsidR="00B2778A">
        <w:rPr>
          <w:rFonts w:ascii="Franklin Gothic Medium" w:hAnsi="Franklin Gothic Medium" w:cstheme="minorHAnsi"/>
          <w:color w:val="000000"/>
          <w:lang w:val="en-US"/>
        </w:rPr>
        <w:t>a</w:t>
      </w:r>
      <w:r w:rsidRPr="001301BB">
        <w:rPr>
          <w:rFonts w:ascii="Franklin Gothic Medium" w:hAnsi="Franklin Gothic Medium" w:cstheme="minorHAnsi"/>
          <w:color w:val="000000"/>
          <w:lang w:val="en-US"/>
        </w:rPr>
        <w:t xml:space="preserve"> for the approval or rejection of the electronic invoicing software, for the purpose of granting a suitability license to the Candidate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Provider.</w:t>
      </w:r>
    </w:p>
    <w:p w14:paraId="6887D0B3" w14:textId="77777777" w:rsidR="00180B96" w:rsidRPr="001301BB" w:rsidRDefault="00180B96" w:rsidP="00A35BAF">
      <w:pPr>
        <w:autoSpaceDE w:val="0"/>
        <w:autoSpaceDN w:val="0"/>
        <w:adjustRightInd w:val="0"/>
        <w:spacing w:after="0" w:line="240" w:lineRule="auto"/>
        <w:rPr>
          <w:rFonts w:ascii="Franklin Gothic Medium" w:hAnsi="Franklin Gothic Medium" w:cstheme="minorHAnsi"/>
          <w:color w:val="000000"/>
          <w:lang w:val="en-US"/>
        </w:rPr>
      </w:pPr>
    </w:p>
    <w:p w14:paraId="7A1F9323" w14:textId="219C5373" w:rsidR="0077384A" w:rsidRPr="001301BB" w:rsidRDefault="001301BB" w:rsidP="0077384A">
      <w:pPr>
        <w:autoSpaceDE w:val="0"/>
        <w:autoSpaceDN w:val="0"/>
        <w:adjustRightInd w:val="0"/>
        <w:spacing w:after="0" w:line="240" w:lineRule="auto"/>
        <w:rPr>
          <w:rFonts w:ascii="Franklin Gothic Medium" w:hAnsi="Franklin Gothic Medium"/>
          <w:b/>
          <w:bCs/>
          <w:color w:val="1F497D" w:themeColor="text2"/>
          <w:sz w:val="28"/>
          <w:szCs w:val="28"/>
          <w:lang w:val="en-US"/>
        </w:rPr>
      </w:pPr>
      <w:r w:rsidRPr="001301BB">
        <w:rPr>
          <w:rFonts w:ascii="Franklin Gothic Medium" w:hAnsi="Franklin Gothic Medium"/>
          <w:b/>
          <w:bCs/>
          <w:color w:val="1F497D" w:themeColor="text2"/>
          <w:sz w:val="28"/>
          <w:szCs w:val="28"/>
          <w:lang w:val="en-US"/>
        </w:rPr>
        <w:t>Explanation of the Table Columns</w:t>
      </w:r>
      <w:r w:rsidR="0077384A" w:rsidRPr="001301BB">
        <w:rPr>
          <w:rFonts w:ascii="Franklin Gothic Medium" w:hAnsi="Franklin Gothic Medium"/>
          <w:b/>
          <w:bCs/>
          <w:color w:val="1F497D" w:themeColor="text2"/>
          <w:sz w:val="28"/>
          <w:szCs w:val="28"/>
          <w:lang w:val="en-US"/>
        </w:rPr>
        <w:t xml:space="preserve">: </w:t>
      </w:r>
    </w:p>
    <w:p w14:paraId="285CA5B2" w14:textId="77777777" w:rsidR="0077384A" w:rsidRPr="001301BB" w:rsidRDefault="0077384A" w:rsidP="0077384A">
      <w:pPr>
        <w:autoSpaceDE w:val="0"/>
        <w:autoSpaceDN w:val="0"/>
        <w:adjustRightInd w:val="0"/>
        <w:spacing w:after="0" w:line="240" w:lineRule="auto"/>
        <w:rPr>
          <w:rFonts w:ascii="Franklin Gothic Medium" w:hAnsi="Franklin Gothic Medium" w:cs="Cambria"/>
          <w:color w:val="000000"/>
          <w:lang w:val="en-US"/>
        </w:rPr>
      </w:pPr>
    </w:p>
    <w:p w14:paraId="50A25277" w14:textId="3637CB0A" w:rsidR="001301BB" w:rsidRPr="00693AD8" w:rsidRDefault="001301BB" w:rsidP="006120F9">
      <w:pPr>
        <w:autoSpaceDE w:val="0"/>
        <w:autoSpaceDN w:val="0"/>
        <w:adjustRightInd w:val="0"/>
        <w:spacing w:after="0" w:line="240" w:lineRule="auto"/>
        <w:jc w:val="both"/>
        <w:rPr>
          <w:rFonts w:ascii="Franklin Gothic Medium" w:hAnsi="Franklin Gothic Medium" w:cstheme="minorHAnsi"/>
          <w:b/>
          <w:bCs/>
          <w:color w:val="000000"/>
          <w:lang w:val="en-US"/>
        </w:rPr>
      </w:pPr>
      <w:r w:rsidRPr="00693AD8">
        <w:rPr>
          <w:rFonts w:ascii="Franklin Gothic Medium" w:hAnsi="Franklin Gothic Medium" w:cstheme="minorHAnsi"/>
          <w:b/>
          <w:bCs/>
          <w:color w:val="000000"/>
          <w:lang w:val="en-US"/>
        </w:rPr>
        <w:t>S</w:t>
      </w:r>
      <w:r w:rsidR="008F6C2F">
        <w:rPr>
          <w:rFonts w:ascii="Franklin Gothic Medium" w:hAnsi="Franklin Gothic Medium" w:cstheme="minorHAnsi"/>
          <w:b/>
          <w:bCs/>
          <w:color w:val="000000"/>
          <w:lang w:val="en-US"/>
        </w:rPr>
        <w:t>PECIFICATION</w:t>
      </w:r>
      <w:r w:rsidRPr="00693AD8">
        <w:rPr>
          <w:rFonts w:ascii="Franklin Gothic Medium" w:hAnsi="Franklin Gothic Medium" w:cstheme="minorHAnsi"/>
          <w:b/>
          <w:bCs/>
          <w:color w:val="000000"/>
          <w:lang w:val="en-US"/>
        </w:rPr>
        <w:t xml:space="preserve"> Column</w:t>
      </w:r>
    </w:p>
    <w:p w14:paraId="447B9511" w14:textId="7F1E482A" w:rsidR="001301BB" w:rsidRPr="001301BB" w:rsidRDefault="001301BB" w:rsidP="00B2778A">
      <w:pPr>
        <w:autoSpaceDE w:val="0"/>
        <w:autoSpaceDN w:val="0"/>
        <w:adjustRightInd w:val="0"/>
        <w:spacing w:after="0" w:line="240" w:lineRule="auto"/>
        <w:jc w:val="both"/>
        <w:rPr>
          <w:rFonts w:ascii="Franklin Gothic Medium" w:hAnsi="Franklin Gothic Medium" w:cstheme="minorHAnsi"/>
          <w:color w:val="000000"/>
          <w:lang w:val="en-US"/>
        </w:rPr>
      </w:pPr>
      <w:r w:rsidRPr="001301BB">
        <w:rPr>
          <w:rFonts w:ascii="Franklin Gothic Medium" w:hAnsi="Franklin Gothic Medium" w:cstheme="minorHAnsi"/>
          <w:color w:val="000000"/>
          <w:lang w:val="en-US"/>
        </w:rPr>
        <w:t xml:space="preserve">For the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S_T Table A</w:t>
      </w:r>
      <w:r w:rsidR="00B2778A">
        <w:rPr>
          <w:rFonts w:ascii="Franklin Gothic Medium" w:hAnsi="Franklin Gothic Medium" w:cstheme="minorHAnsi"/>
          <w:color w:val="000000"/>
          <w:lang w:val="en-US"/>
        </w:rPr>
        <w:t>1112</w:t>
      </w:r>
      <w:r w:rsidRPr="001301BB">
        <w:rPr>
          <w:rFonts w:ascii="Franklin Gothic Medium" w:hAnsi="Franklin Gothic Medium" w:cstheme="minorHAnsi"/>
          <w:color w:val="000000"/>
          <w:lang w:val="en-US"/>
        </w:rPr>
        <w:t>_202</w:t>
      </w:r>
      <w:r w:rsidR="00B2778A">
        <w:rPr>
          <w:rFonts w:ascii="Franklin Gothic Medium" w:hAnsi="Franklin Gothic Medium" w:cstheme="minorHAnsi"/>
          <w:color w:val="000000"/>
          <w:lang w:val="en-US"/>
        </w:rPr>
        <w:t>5</w:t>
      </w:r>
      <w:r w:rsidRPr="001301BB">
        <w:rPr>
          <w:rFonts w:ascii="Franklin Gothic Medium" w:hAnsi="Franklin Gothic Medium" w:cstheme="minorHAnsi"/>
          <w:color w:val="000000"/>
          <w:lang w:val="en-US"/>
        </w:rPr>
        <w:t xml:space="preserve"> and the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S_T Table A.1017_2020, the cells in this column contain a detailed description of the relevant paragraphs of the articles and the related appendices of the aforementioned decisions, for which sufficient clarifications and supporting responses must be provided.</w:t>
      </w:r>
      <w:r w:rsidR="00B2778A">
        <w:rPr>
          <w:rFonts w:ascii="Franklin Gothic Medium" w:hAnsi="Franklin Gothic Medium" w:cstheme="minorHAnsi"/>
          <w:color w:val="000000"/>
          <w:lang w:val="en-US"/>
        </w:rPr>
        <w:t xml:space="preserve"> </w:t>
      </w:r>
      <w:r w:rsidRPr="001301BB">
        <w:rPr>
          <w:rFonts w:ascii="Franklin Gothic Medium" w:hAnsi="Franklin Gothic Medium" w:cstheme="minorHAnsi"/>
          <w:color w:val="000000"/>
          <w:lang w:val="en-US"/>
        </w:rPr>
        <w:t xml:space="preserve">Exceptionally, for the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S_T Table Other Obligations, responses are requested regarding the procedure for reviewing data transmission via the REST API of the </w:t>
      </w:r>
      <w:proofErr w:type="spellStart"/>
      <w:r w:rsidRPr="001301BB">
        <w:rPr>
          <w:rFonts w:ascii="Franklin Gothic Medium" w:hAnsi="Franklin Gothic Medium" w:cstheme="minorHAnsi"/>
          <w:color w:val="000000"/>
          <w:lang w:val="en-US"/>
        </w:rPr>
        <w:t>myDATA</w:t>
      </w:r>
      <w:proofErr w:type="spellEnd"/>
      <w:r w:rsidRPr="001301BB">
        <w:rPr>
          <w:rFonts w:ascii="Franklin Gothic Medium" w:hAnsi="Franklin Gothic Medium" w:cstheme="minorHAnsi"/>
          <w:color w:val="000000"/>
          <w:lang w:val="en-US"/>
        </w:rPr>
        <w:t xml:space="preserve"> digital platform</w:t>
      </w:r>
      <w:r w:rsidR="00B2778A">
        <w:rPr>
          <w:rFonts w:ascii="Franklin Gothic Medium" w:hAnsi="Franklin Gothic Medium" w:cstheme="minorHAnsi"/>
          <w:color w:val="000000"/>
          <w:lang w:val="en-US"/>
        </w:rPr>
        <w:t xml:space="preserve"> interface</w:t>
      </w:r>
      <w:r w:rsidRPr="001301BB">
        <w:rPr>
          <w:rFonts w:ascii="Franklin Gothic Medium" w:hAnsi="Franklin Gothic Medium" w:cstheme="minorHAnsi"/>
          <w:color w:val="000000"/>
          <w:lang w:val="en-US"/>
        </w:rPr>
        <w:t xml:space="preserve">, as well as the electronic invoicing software of the Candidate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Provider, for the purpose of supervision, inspection, and verification of the outcomes.</w:t>
      </w:r>
    </w:p>
    <w:p w14:paraId="3C682095" w14:textId="77777777" w:rsidR="0077384A" w:rsidRPr="001301BB" w:rsidRDefault="0077384A" w:rsidP="0077384A">
      <w:pPr>
        <w:autoSpaceDE w:val="0"/>
        <w:autoSpaceDN w:val="0"/>
        <w:adjustRightInd w:val="0"/>
        <w:spacing w:after="0" w:line="240" w:lineRule="auto"/>
        <w:rPr>
          <w:rFonts w:ascii="Franklin Gothic Medium" w:hAnsi="Franklin Gothic Medium" w:cstheme="minorHAnsi"/>
          <w:b/>
          <w:bCs/>
          <w:color w:val="000000"/>
          <w:lang w:val="en-US"/>
        </w:rPr>
      </w:pPr>
    </w:p>
    <w:p w14:paraId="1990FE9A" w14:textId="27E51D2C" w:rsidR="001301BB" w:rsidRPr="00693AD8" w:rsidRDefault="001301BB" w:rsidP="00D24D37">
      <w:pPr>
        <w:autoSpaceDE w:val="0"/>
        <w:autoSpaceDN w:val="0"/>
        <w:adjustRightInd w:val="0"/>
        <w:spacing w:after="0" w:line="240" w:lineRule="auto"/>
        <w:jc w:val="both"/>
        <w:rPr>
          <w:rFonts w:ascii="Franklin Gothic Medium" w:hAnsi="Franklin Gothic Medium" w:cstheme="minorHAnsi"/>
          <w:b/>
          <w:bCs/>
          <w:color w:val="000000"/>
          <w:lang w:val="en-US"/>
        </w:rPr>
      </w:pPr>
      <w:r w:rsidRPr="00693AD8">
        <w:rPr>
          <w:rFonts w:ascii="Franklin Gothic Medium" w:hAnsi="Franklin Gothic Medium" w:cstheme="minorHAnsi"/>
          <w:b/>
          <w:bCs/>
          <w:color w:val="000000"/>
          <w:lang w:val="en-US"/>
        </w:rPr>
        <w:t>R</w:t>
      </w:r>
      <w:r w:rsidR="00B2778A">
        <w:rPr>
          <w:rFonts w:ascii="Franklin Gothic Medium" w:hAnsi="Franklin Gothic Medium" w:cstheme="minorHAnsi"/>
          <w:b/>
          <w:bCs/>
          <w:color w:val="000000"/>
          <w:lang w:val="en-US"/>
        </w:rPr>
        <w:t>EQUIREMENT</w:t>
      </w:r>
      <w:r w:rsidRPr="00693AD8">
        <w:rPr>
          <w:rFonts w:ascii="Franklin Gothic Medium" w:hAnsi="Franklin Gothic Medium" w:cstheme="minorHAnsi"/>
          <w:b/>
          <w:bCs/>
          <w:color w:val="000000"/>
          <w:lang w:val="en-US"/>
        </w:rPr>
        <w:t xml:space="preserve"> Column</w:t>
      </w:r>
    </w:p>
    <w:p w14:paraId="6986EBBB" w14:textId="42445BAF" w:rsidR="00B549BA" w:rsidRPr="001301BB" w:rsidRDefault="001301BB" w:rsidP="00B549BA">
      <w:pPr>
        <w:autoSpaceDE w:val="0"/>
        <w:autoSpaceDN w:val="0"/>
        <w:adjustRightInd w:val="0"/>
        <w:spacing w:after="0" w:line="240" w:lineRule="auto"/>
        <w:jc w:val="both"/>
        <w:rPr>
          <w:rFonts w:ascii="Franklin Gothic Medium" w:hAnsi="Franklin Gothic Medium" w:cstheme="minorHAnsi"/>
          <w:color w:val="000000"/>
          <w:lang w:val="en-US"/>
        </w:rPr>
      </w:pPr>
      <w:r w:rsidRPr="001301BB">
        <w:rPr>
          <w:rFonts w:ascii="Franklin Gothic Medium" w:hAnsi="Franklin Gothic Medium" w:cstheme="minorHAnsi"/>
          <w:color w:val="000000"/>
          <w:lang w:val="en-US"/>
        </w:rPr>
        <w:t>In the cells of this column, the word “YES” is</w:t>
      </w:r>
      <w:r w:rsidR="00E60752" w:rsidRPr="00E60752">
        <w:rPr>
          <w:rFonts w:ascii="Franklin Gothic Medium" w:hAnsi="Franklin Gothic Medium" w:cstheme="minorHAnsi"/>
          <w:color w:val="000000"/>
          <w:lang w:val="en-US"/>
        </w:rPr>
        <w:t xml:space="preserve"> </w:t>
      </w:r>
      <w:r w:rsidR="00E60752">
        <w:rPr>
          <w:rFonts w:ascii="Franklin Gothic Medium" w:hAnsi="Franklin Gothic Medium" w:cstheme="minorHAnsi"/>
          <w:color w:val="000000"/>
          <w:lang w:val="en-US"/>
        </w:rPr>
        <w:t>completed</w:t>
      </w:r>
      <w:r w:rsidRPr="001301BB">
        <w:rPr>
          <w:rFonts w:ascii="Franklin Gothic Medium" w:hAnsi="Franklin Gothic Medium" w:cstheme="minorHAnsi"/>
          <w:color w:val="000000"/>
          <w:lang w:val="en-US"/>
        </w:rPr>
        <w:t xml:space="preserve">, indicating that the corresponding specification is mandatory for the Candidate </w:t>
      </w:r>
      <w:r w:rsidR="00A533D8">
        <w:rPr>
          <w:rFonts w:ascii="Franklin Gothic Medium" w:hAnsi="Franklin Gothic Medium" w:cstheme="minorHAnsi"/>
          <w:color w:val="000000"/>
          <w:lang w:val="en-US"/>
        </w:rPr>
        <w:t>YPAHES</w:t>
      </w:r>
      <w:r w:rsidRPr="001301BB">
        <w:rPr>
          <w:rFonts w:ascii="Franklin Gothic Medium" w:hAnsi="Franklin Gothic Medium" w:cstheme="minorHAnsi"/>
          <w:color w:val="000000"/>
          <w:lang w:val="en-US"/>
        </w:rPr>
        <w:t xml:space="preserve"> Provider. In all cases, the requirement encompasses all individual features, and a response must be provided for each feature separately.</w:t>
      </w:r>
      <w:r w:rsidR="00B549BA" w:rsidRPr="001301BB">
        <w:rPr>
          <w:rFonts w:ascii="Franklin Gothic Medium" w:hAnsi="Franklin Gothic Medium" w:cstheme="minorHAnsi"/>
          <w:color w:val="000000"/>
          <w:lang w:val="en-US"/>
        </w:rPr>
        <w:t xml:space="preserve"> </w:t>
      </w:r>
    </w:p>
    <w:p w14:paraId="0D039317" w14:textId="77777777" w:rsidR="00930008" w:rsidRDefault="00930008" w:rsidP="00856F6C">
      <w:pPr>
        <w:autoSpaceDE w:val="0"/>
        <w:autoSpaceDN w:val="0"/>
        <w:adjustRightInd w:val="0"/>
        <w:spacing w:after="0" w:line="240" w:lineRule="auto"/>
        <w:jc w:val="both"/>
        <w:rPr>
          <w:rFonts w:ascii="Franklin Gothic Medium" w:hAnsi="Franklin Gothic Medium" w:cstheme="minorHAnsi"/>
          <w:b/>
          <w:bCs/>
          <w:color w:val="000000"/>
          <w:lang w:val="en-US"/>
        </w:rPr>
      </w:pPr>
    </w:p>
    <w:p w14:paraId="0AAAEF89" w14:textId="1A4C95EE" w:rsidR="00522C81" w:rsidRPr="00693AD8" w:rsidRDefault="008C402F" w:rsidP="00856F6C">
      <w:pPr>
        <w:autoSpaceDE w:val="0"/>
        <w:autoSpaceDN w:val="0"/>
        <w:adjustRightInd w:val="0"/>
        <w:spacing w:after="0" w:line="240" w:lineRule="auto"/>
        <w:jc w:val="both"/>
        <w:rPr>
          <w:rFonts w:ascii="Franklin Gothic Medium" w:hAnsi="Franklin Gothic Medium" w:cstheme="minorHAnsi"/>
          <w:b/>
          <w:bCs/>
          <w:color w:val="000000"/>
          <w:lang w:val="en-US"/>
        </w:rPr>
      </w:pPr>
      <w:r>
        <w:rPr>
          <w:rFonts w:ascii="Franklin Gothic Medium" w:hAnsi="Franklin Gothic Medium" w:cstheme="minorHAnsi"/>
          <w:b/>
          <w:bCs/>
          <w:color w:val="000000"/>
          <w:lang w:val="en-US"/>
        </w:rPr>
        <w:t>RESPONSE</w:t>
      </w:r>
      <w:r w:rsidR="00522C81" w:rsidRPr="00693AD8">
        <w:rPr>
          <w:rFonts w:ascii="Franklin Gothic Medium" w:hAnsi="Franklin Gothic Medium" w:cstheme="minorHAnsi"/>
          <w:b/>
          <w:bCs/>
          <w:color w:val="000000"/>
          <w:lang w:val="en-US"/>
        </w:rPr>
        <w:t xml:space="preserve"> Column</w:t>
      </w:r>
    </w:p>
    <w:p w14:paraId="34C68B89" w14:textId="5497C27C" w:rsidR="00032372" w:rsidRPr="00522C81" w:rsidRDefault="00522C81" w:rsidP="00CA27C6">
      <w:pPr>
        <w:autoSpaceDE w:val="0"/>
        <w:autoSpaceDN w:val="0"/>
        <w:adjustRightInd w:val="0"/>
        <w:spacing w:after="0" w:line="240" w:lineRule="auto"/>
        <w:rPr>
          <w:rFonts w:ascii="Franklin Gothic Medium" w:hAnsi="Franklin Gothic Medium" w:cstheme="minorHAnsi"/>
          <w:color w:val="000000"/>
          <w:lang w:val="en-US"/>
        </w:rPr>
      </w:pPr>
      <w:r w:rsidRPr="00522C81">
        <w:rPr>
          <w:rFonts w:ascii="Franklin Gothic Medium" w:hAnsi="Franklin Gothic Medium" w:cstheme="minorHAnsi"/>
          <w:color w:val="000000"/>
          <w:lang w:val="en-US"/>
        </w:rPr>
        <w:t>In the cells of this column, the supplier’s response must be indicated as follows:</w:t>
      </w:r>
      <w:r w:rsidRPr="00522C81">
        <w:rPr>
          <w:rFonts w:ascii="Franklin Gothic Medium" w:hAnsi="Franklin Gothic Medium" w:cstheme="minorHAnsi"/>
          <w:color w:val="000000"/>
          <w:lang w:val="en-US"/>
        </w:rPr>
        <w:br/>
        <w:t xml:space="preserve">a. </w:t>
      </w:r>
      <w:r w:rsidR="007B0D59">
        <w:rPr>
          <w:rFonts w:ascii="Franklin Gothic Medium" w:hAnsi="Franklin Gothic Medium" w:cstheme="minorHAnsi"/>
          <w:color w:val="000000"/>
          <w:lang w:val="en-US"/>
        </w:rPr>
        <w:t xml:space="preserve">the indication </w:t>
      </w:r>
      <w:r w:rsidRPr="00522C81">
        <w:rPr>
          <w:rFonts w:ascii="Franklin Gothic Medium" w:hAnsi="Franklin Gothic Medium" w:cstheme="minorHAnsi"/>
          <w:color w:val="000000"/>
          <w:lang w:val="en-US"/>
        </w:rPr>
        <w:t xml:space="preserve">“YES” if the reference documents </w:t>
      </w:r>
      <w:r w:rsidR="00E60752" w:rsidRPr="00522C81">
        <w:rPr>
          <w:rFonts w:ascii="Franklin Gothic Medium" w:hAnsi="Franklin Gothic Medium" w:cstheme="minorHAnsi"/>
          <w:color w:val="000000"/>
          <w:lang w:val="en-US"/>
        </w:rPr>
        <w:t xml:space="preserve">sufficiently </w:t>
      </w:r>
      <w:r w:rsidRPr="00522C81">
        <w:rPr>
          <w:rFonts w:ascii="Franklin Gothic Medium" w:hAnsi="Franklin Gothic Medium" w:cstheme="minorHAnsi"/>
          <w:color w:val="000000"/>
          <w:lang w:val="en-US"/>
        </w:rPr>
        <w:t>the corresponding requirement, the relevant specifications are met, and in any case, the specific obligation is undertaken.</w:t>
      </w:r>
      <w:r w:rsidRPr="00522C81">
        <w:rPr>
          <w:rFonts w:ascii="Franklin Gothic Medium" w:hAnsi="Franklin Gothic Medium" w:cstheme="minorHAnsi"/>
          <w:color w:val="000000"/>
          <w:lang w:val="en-US"/>
        </w:rPr>
        <w:br/>
        <w:t xml:space="preserve">b. </w:t>
      </w:r>
      <w:r w:rsidR="007B0D59">
        <w:rPr>
          <w:rFonts w:ascii="Franklin Gothic Medium" w:hAnsi="Franklin Gothic Medium" w:cstheme="minorHAnsi"/>
          <w:color w:val="000000"/>
          <w:lang w:val="en-US"/>
        </w:rPr>
        <w:t xml:space="preserve">the indication </w:t>
      </w:r>
      <w:r w:rsidRPr="00522C81">
        <w:rPr>
          <w:rFonts w:ascii="Franklin Gothic Medium" w:hAnsi="Franklin Gothic Medium" w:cstheme="minorHAnsi"/>
          <w:color w:val="000000"/>
          <w:lang w:val="en-US"/>
        </w:rPr>
        <w:t>“NO” otherwise.</w:t>
      </w:r>
    </w:p>
    <w:p w14:paraId="3802DEEF" w14:textId="77777777" w:rsidR="007B0D59" w:rsidRDefault="007B0D59" w:rsidP="00B549BA">
      <w:pPr>
        <w:autoSpaceDE w:val="0"/>
        <w:autoSpaceDN w:val="0"/>
        <w:adjustRightInd w:val="0"/>
        <w:spacing w:after="0" w:line="240" w:lineRule="auto"/>
        <w:jc w:val="both"/>
        <w:rPr>
          <w:rFonts w:ascii="Franklin Gothic Medium" w:hAnsi="Franklin Gothic Medium" w:cstheme="minorHAnsi"/>
          <w:color w:val="000000"/>
          <w:lang w:val="en-US"/>
        </w:rPr>
      </w:pPr>
    </w:p>
    <w:p w14:paraId="257CE337" w14:textId="41A93F9E" w:rsidR="00032372" w:rsidRPr="00693AD8" w:rsidRDefault="00522C81" w:rsidP="00B549BA">
      <w:pPr>
        <w:autoSpaceDE w:val="0"/>
        <w:autoSpaceDN w:val="0"/>
        <w:adjustRightInd w:val="0"/>
        <w:spacing w:after="0" w:line="240" w:lineRule="auto"/>
        <w:jc w:val="both"/>
        <w:rPr>
          <w:rFonts w:ascii="Franklin Gothic Medium" w:hAnsi="Franklin Gothic Medium" w:cstheme="minorHAnsi"/>
          <w:color w:val="000000"/>
          <w:lang w:val="en-US"/>
        </w:rPr>
      </w:pPr>
      <w:r w:rsidRPr="00522C81">
        <w:rPr>
          <w:rFonts w:ascii="Franklin Gothic Medium" w:hAnsi="Franklin Gothic Medium" w:cstheme="minorHAnsi"/>
          <w:color w:val="000000"/>
          <w:lang w:val="en-US"/>
        </w:rPr>
        <w:t xml:space="preserve">A simple affirmation or explanation does not constitute proof of compliance with the specification, and the </w:t>
      </w:r>
      <w:r w:rsidR="00A533D8">
        <w:rPr>
          <w:rFonts w:ascii="Franklin Gothic Medium" w:hAnsi="Franklin Gothic Medium" w:cstheme="minorHAnsi"/>
          <w:color w:val="000000"/>
          <w:lang w:val="en-US"/>
        </w:rPr>
        <w:t>YPAHES</w:t>
      </w:r>
      <w:r w:rsidRPr="00522C81">
        <w:rPr>
          <w:rFonts w:ascii="Franklin Gothic Medium" w:hAnsi="Franklin Gothic Medium" w:cstheme="minorHAnsi"/>
          <w:color w:val="000000"/>
          <w:lang w:val="en-US"/>
        </w:rPr>
        <w:t xml:space="preserve"> </w:t>
      </w:r>
      <w:r w:rsidR="00E60752" w:rsidRPr="0096693C">
        <w:rPr>
          <w:rFonts w:ascii="Franklin Gothic Medium" w:hAnsi="Franklin Gothic Medium" w:cstheme="minorHAnsi"/>
          <w:color w:val="000000"/>
          <w:lang w:val="en-US"/>
        </w:rPr>
        <w:t xml:space="preserve">Audit Committee </w:t>
      </w:r>
      <w:r w:rsidRPr="00522C81">
        <w:rPr>
          <w:rFonts w:ascii="Franklin Gothic Medium" w:hAnsi="Franklin Gothic Medium" w:cstheme="minorHAnsi"/>
          <w:color w:val="000000"/>
          <w:lang w:val="en-US"/>
        </w:rPr>
        <w:t>may, at its discretion, accept or reject it.</w:t>
      </w:r>
    </w:p>
    <w:p w14:paraId="18E49EE9" w14:textId="77777777" w:rsidR="00522C81" w:rsidRPr="00693AD8" w:rsidRDefault="00522C81" w:rsidP="00B549BA">
      <w:pPr>
        <w:autoSpaceDE w:val="0"/>
        <w:autoSpaceDN w:val="0"/>
        <w:adjustRightInd w:val="0"/>
        <w:spacing w:after="0" w:line="240" w:lineRule="auto"/>
        <w:jc w:val="both"/>
        <w:rPr>
          <w:rFonts w:ascii="Franklin Gothic Medium" w:hAnsi="Franklin Gothic Medium" w:cstheme="minorHAnsi"/>
          <w:color w:val="000000"/>
          <w:lang w:val="en-US"/>
        </w:rPr>
      </w:pPr>
    </w:p>
    <w:p w14:paraId="0F8F2660" w14:textId="3C6343C4" w:rsidR="00B549BA" w:rsidRPr="00522C81" w:rsidRDefault="00522C81" w:rsidP="00B549BA">
      <w:pPr>
        <w:autoSpaceDE w:val="0"/>
        <w:autoSpaceDN w:val="0"/>
        <w:adjustRightInd w:val="0"/>
        <w:spacing w:after="0" w:line="240" w:lineRule="auto"/>
        <w:jc w:val="both"/>
        <w:rPr>
          <w:rFonts w:ascii="Franklin Gothic Medium" w:hAnsi="Franklin Gothic Medium" w:cstheme="minorHAnsi"/>
          <w:color w:val="000000"/>
          <w:lang w:val="en-US"/>
        </w:rPr>
      </w:pPr>
      <w:r w:rsidRPr="00522C81">
        <w:rPr>
          <w:rFonts w:ascii="Franklin Gothic Medium" w:hAnsi="Franklin Gothic Medium" w:cstheme="minorHAnsi"/>
          <w:color w:val="000000"/>
          <w:lang w:val="en-US"/>
        </w:rPr>
        <w:t xml:space="preserve">Refusal </w:t>
      </w:r>
      <w:r w:rsidR="007B0D59">
        <w:rPr>
          <w:rFonts w:ascii="Franklin Gothic Medium" w:hAnsi="Franklin Gothic Medium" w:cstheme="minorHAnsi"/>
          <w:color w:val="000000"/>
          <w:lang w:val="en-US"/>
        </w:rPr>
        <w:t>r</w:t>
      </w:r>
      <w:r w:rsidRPr="00522C81">
        <w:rPr>
          <w:rFonts w:ascii="Franklin Gothic Medium" w:hAnsi="Franklin Gothic Medium" w:cstheme="minorHAnsi"/>
          <w:color w:val="000000"/>
          <w:lang w:val="en-US"/>
        </w:rPr>
        <w:t>esults in the automatic rejection of the application and the non-approval of the electronic invoicing soft</w:t>
      </w:r>
      <w:bookmarkStart w:id="0" w:name="_GoBack"/>
      <w:bookmarkEnd w:id="0"/>
      <w:r w:rsidRPr="00522C81">
        <w:rPr>
          <w:rFonts w:ascii="Franklin Gothic Medium" w:hAnsi="Franklin Gothic Medium" w:cstheme="minorHAnsi"/>
          <w:color w:val="000000"/>
          <w:lang w:val="en-US"/>
        </w:rPr>
        <w:t>ware.</w:t>
      </w:r>
    </w:p>
    <w:p w14:paraId="0C462F78" w14:textId="08341539" w:rsidR="004A2D1D" w:rsidRDefault="00522C81" w:rsidP="00FA1D74">
      <w:pPr>
        <w:spacing w:line="240" w:lineRule="auto"/>
        <w:jc w:val="both"/>
        <w:rPr>
          <w:rFonts w:ascii="Franklin Gothic Medium" w:hAnsi="Franklin Gothic Medium" w:cstheme="minorHAnsi"/>
          <w:b/>
          <w:bCs/>
          <w:color w:val="000000"/>
          <w:lang w:val="en-US"/>
        </w:rPr>
      </w:pPr>
      <w:r w:rsidRPr="00693AD8">
        <w:rPr>
          <w:rFonts w:ascii="Franklin Gothic Medium" w:hAnsi="Franklin Gothic Medium" w:cstheme="minorHAnsi"/>
          <w:b/>
          <w:bCs/>
          <w:color w:val="000000"/>
          <w:lang w:val="en-US"/>
        </w:rPr>
        <w:lastRenderedPageBreak/>
        <w:t>R</w:t>
      </w:r>
      <w:r w:rsidR="004A2D1D">
        <w:rPr>
          <w:rFonts w:ascii="Franklin Gothic Medium" w:hAnsi="Franklin Gothic Medium" w:cstheme="minorHAnsi"/>
          <w:b/>
          <w:bCs/>
          <w:color w:val="000000"/>
          <w:lang w:val="en-US"/>
        </w:rPr>
        <w:t>EFERENCE</w:t>
      </w:r>
      <w:r w:rsidRPr="00693AD8">
        <w:rPr>
          <w:rFonts w:ascii="Franklin Gothic Medium" w:hAnsi="Franklin Gothic Medium" w:cstheme="minorHAnsi"/>
          <w:b/>
          <w:bCs/>
          <w:color w:val="000000"/>
          <w:lang w:val="en-US"/>
        </w:rPr>
        <w:t xml:space="preserve"> Column</w:t>
      </w:r>
    </w:p>
    <w:p w14:paraId="390A097B" w14:textId="381D7629" w:rsidR="00A35BAF" w:rsidRPr="00180B96" w:rsidRDefault="00522C81" w:rsidP="00FA1D74">
      <w:pPr>
        <w:spacing w:line="240" w:lineRule="auto"/>
        <w:jc w:val="both"/>
        <w:rPr>
          <w:rFonts w:ascii="Franklin Gothic Medium" w:hAnsi="Franklin Gothic Medium" w:cstheme="minorHAnsi"/>
          <w:lang w:val="en-US"/>
        </w:rPr>
      </w:pPr>
      <w:r w:rsidRPr="00522C81">
        <w:rPr>
          <w:rFonts w:ascii="Franklin Gothic Medium" w:hAnsi="Franklin Gothic Medium" w:cstheme="minorHAnsi"/>
          <w:color w:val="000000"/>
          <w:lang w:val="en-US"/>
        </w:rPr>
        <w:t xml:space="preserve">In this column, references </w:t>
      </w:r>
      <w:r w:rsidR="00345587">
        <w:rPr>
          <w:rFonts w:ascii="Franklin Gothic Medium" w:hAnsi="Franklin Gothic Medium" w:cstheme="minorHAnsi"/>
          <w:color w:val="000000"/>
          <w:lang w:val="en-US"/>
        </w:rPr>
        <w:t>m</w:t>
      </w:r>
      <w:r w:rsidRPr="00522C81">
        <w:rPr>
          <w:rFonts w:ascii="Franklin Gothic Medium" w:hAnsi="Franklin Gothic Medium" w:cstheme="minorHAnsi"/>
          <w:color w:val="000000"/>
          <w:lang w:val="en-US"/>
        </w:rPr>
        <w:t xml:space="preserve">ust be provided for each cell, </w:t>
      </w:r>
      <w:r w:rsidRPr="00180B96">
        <w:rPr>
          <w:rFonts w:ascii="Franklin Gothic Medium" w:hAnsi="Franklin Gothic Medium" w:cstheme="minorHAnsi"/>
          <w:lang w:val="en-US"/>
        </w:rPr>
        <w:t>indicating the specific pages, chapters, paragraphs, and subparagraphs of the requested supporting documentation. (</w:t>
      </w:r>
      <w:r w:rsidR="005D229A" w:rsidRPr="00180B96">
        <w:rPr>
          <w:rFonts w:ascii="Franklin Gothic Medium" w:hAnsi="Franklin Gothic Medium" w:cstheme="minorHAnsi"/>
          <w:lang w:val="en-US"/>
        </w:rPr>
        <w:t>A</w:t>
      </w:r>
      <w:r w:rsidR="00345587">
        <w:rPr>
          <w:rFonts w:ascii="Franklin Gothic Medium" w:hAnsi="Franklin Gothic Medium" w:cstheme="minorHAnsi"/>
          <w:lang w:val="en-US"/>
        </w:rPr>
        <w:t>NNEX</w:t>
      </w:r>
      <w:r w:rsidR="005D229A" w:rsidRPr="00180B96">
        <w:rPr>
          <w:rFonts w:ascii="Franklin Gothic Medium" w:hAnsi="Franklin Gothic Medium" w:cstheme="minorHAnsi"/>
          <w:lang w:val="en-US"/>
        </w:rPr>
        <w:t xml:space="preserve"> A and Art</w:t>
      </w:r>
      <w:r w:rsidR="00345587">
        <w:rPr>
          <w:rFonts w:ascii="Franklin Gothic Medium" w:hAnsi="Franklin Gothic Medium" w:cstheme="minorHAnsi"/>
          <w:lang w:val="en-US"/>
        </w:rPr>
        <w:t>.</w:t>
      </w:r>
      <w:r w:rsidR="005D229A" w:rsidRPr="00180B96">
        <w:rPr>
          <w:rFonts w:ascii="Franklin Gothic Medium" w:hAnsi="Franklin Gothic Medium" w:cstheme="minorHAnsi"/>
          <w:lang w:val="en-US"/>
        </w:rPr>
        <w:t>4 par.2 A.1112/2025</w:t>
      </w:r>
      <w:r w:rsidRPr="00180B96">
        <w:rPr>
          <w:rFonts w:ascii="Franklin Gothic Medium" w:hAnsi="Franklin Gothic Medium" w:cstheme="minorHAnsi"/>
          <w:lang w:val="en-US"/>
        </w:rPr>
        <w:t>), from which the responses provided in the previous column of the submission are fully documented and justified. It is emphasized that a response and the corresponding reference are mandatory for all entries in the tables, and all requested information must be provided.</w:t>
      </w:r>
    </w:p>
    <w:p w14:paraId="32BB97F9" w14:textId="749F4EF1" w:rsidR="00154324" w:rsidRDefault="00154324" w:rsidP="00FA1D74">
      <w:pPr>
        <w:spacing w:line="240" w:lineRule="auto"/>
        <w:jc w:val="both"/>
        <w:rPr>
          <w:rFonts w:ascii="Franklin Gothic Medium" w:hAnsi="Franklin Gothic Medium" w:cstheme="minorHAnsi"/>
          <w:color w:val="000000"/>
          <w:lang w:val="en-US"/>
        </w:rPr>
      </w:pPr>
    </w:p>
    <w:p w14:paraId="1EA46957" w14:textId="2469F6C3" w:rsidR="00E85E46" w:rsidRDefault="00E85E46" w:rsidP="00FA1D74">
      <w:pPr>
        <w:spacing w:line="240" w:lineRule="auto"/>
        <w:jc w:val="both"/>
        <w:rPr>
          <w:rFonts w:ascii="Franklin Gothic Medium" w:hAnsi="Franklin Gothic Medium" w:cstheme="minorHAnsi"/>
          <w:color w:val="000000"/>
          <w:lang w:val="en-US"/>
        </w:rPr>
      </w:pPr>
    </w:p>
    <w:p w14:paraId="102C6D9C" w14:textId="1375BA30" w:rsidR="00E85E46" w:rsidRDefault="00E85E46" w:rsidP="00FA1D74">
      <w:pPr>
        <w:spacing w:line="240" w:lineRule="auto"/>
        <w:jc w:val="both"/>
        <w:rPr>
          <w:rFonts w:ascii="Franklin Gothic Medium" w:hAnsi="Franklin Gothic Medium" w:cstheme="minorHAnsi"/>
          <w:color w:val="000000"/>
          <w:lang w:val="en-US"/>
        </w:rPr>
      </w:pPr>
    </w:p>
    <w:p w14:paraId="62EFD09F" w14:textId="252356EE" w:rsidR="00E85E46" w:rsidRDefault="00E85E46" w:rsidP="00FA1D74">
      <w:pPr>
        <w:spacing w:line="240" w:lineRule="auto"/>
        <w:jc w:val="both"/>
        <w:rPr>
          <w:rFonts w:ascii="Franklin Gothic Medium" w:hAnsi="Franklin Gothic Medium" w:cstheme="minorHAnsi"/>
          <w:color w:val="000000"/>
          <w:lang w:val="en-US"/>
        </w:rPr>
      </w:pPr>
    </w:p>
    <w:p w14:paraId="57CAA2E7" w14:textId="13D86BD6" w:rsidR="00E85E46" w:rsidRDefault="00E85E46" w:rsidP="00FA1D74">
      <w:pPr>
        <w:spacing w:line="240" w:lineRule="auto"/>
        <w:jc w:val="both"/>
        <w:rPr>
          <w:rFonts w:ascii="Franklin Gothic Medium" w:hAnsi="Franklin Gothic Medium" w:cstheme="minorHAnsi"/>
          <w:color w:val="000000"/>
          <w:lang w:val="en-US"/>
        </w:rPr>
      </w:pPr>
    </w:p>
    <w:p w14:paraId="70ADA424" w14:textId="507EEA25" w:rsidR="00E85E46" w:rsidRDefault="00E85E46" w:rsidP="00FA1D74">
      <w:pPr>
        <w:spacing w:line="240" w:lineRule="auto"/>
        <w:jc w:val="both"/>
        <w:rPr>
          <w:rFonts w:ascii="Franklin Gothic Medium" w:hAnsi="Franklin Gothic Medium" w:cstheme="minorHAnsi"/>
          <w:color w:val="000000"/>
          <w:lang w:val="en-US"/>
        </w:rPr>
      </w:pPr>
    </w:p>
    <w:p w14:paraId="2FE96B07" w14:textId="28BBC05D" w:rsidR="00E85E46" w:rsidRDefault="00E85E46" w:rsidP="00FA1D74">
      <w:pPr>
        <w:spacing w:line="240" w:lineRule="auto"/>
        <w:jc w:val="both"/>
        <w:rPr>
          <w:rFonts w:ascii="Franklin Gothic Medium" w:hAnsi="Franklin Gothic Medium" w:cstheme="minorHAnsi"/>
          <w:color w:val="000000"/>
          <w:lang w:val="en-US"/>
        </w:rPr>
      </w:pPr>
    </w:p>
    <w:p w14:paraId="45CF7AF0" w14:textId="43AC2A25" w:rsidR="00E85E46" w:rsidRDefault="00E85E46" w:rsidP="00FA1D74">
      <w:pPr>
        <w:spacing w:line="240" w:lineRule="auto"/>
        <w:jc w:val="both"/>
        <w:rPr>
          <w:rFonts w:ascii="Franklin Gothic Medium" w:hAnsi="Franklin Gothic Medium" w:cstheme="minorHAnsi"/>
          <w:color w:val="000000"/>
          <w:lang w:val="en-US"/>
        </w:rPr>
      </w:pPr>
    </w:p>
    <w:p w14:paraId="3ED9A8EE" w14:textId="3F3283FC" w:rsidR="00E85E46" w:rsidRDefault="00E85E46" w:rsidP="00FA1D74">
      <w:pPr>
        <w:spacing w:line="240" w:lineRule="auto"/>
        <w:jc w:val="both"/>
        <w:rPr>
          <w:rFonts w:ascii="Franklin Gothic Medium" w:hAnsi="Franklin Gothic Medium" w:cstheme="minorHAnsi"/>
          <w:color w:val="000000"/>
          <w:lang w:val="en-US"/>
        </w:rPr>
      </w:pPr>
    </w:p>
    <w:p w14:paraId="0FFE2601" w14:textId="2404A478" w:rsidR="00E85E46" w:rsidRDefault="00E85E46" w:rsidP="00FA1D74">
      <w:pPr>
        <w:spacing w:line="240" w:lineRule="auto"/>
        <w:jc w:val="both"/>
        <w:rPr>
          <w:rFonts w:ascii="Franklin Gothic Medium" w:hAnsi="Franklin Gothic Medium" w:cstheme="minorHAnsi"/>
          <w:color w:val="000000"/>
          <w:lang w:val="en-US"/>
        </w:rPr>
      </w:pPr>
    </w:p>
    <w:p w14:paraId="61265A98" w14:textId="176E729B" w:rsidR="00E85E46" w:rsidRDefault="00E85E46" w:rsidP="00FA1D74">
      <w:pPr>
        <w:spacing w:line="240" w:lineRule="auto"/>
        <w:jc w:val="both"/>
        <w:rPr>
          <w:rFonts w:ascii="Franklin Gothic Medium" w:hAnsi="Franklin Gothic Medium" w:cstheme="minorHAnsi"/>
          <w:color w:val="000000"/>
          <w:lang w:val="en-US"/>
        </w:rPr>
      </w:pPr>
    </w:p>
    <w:p w14:paraId="032F61AE" w14:textId="4BC2FA9F" w:rsidR="00E85E46" w:rsidRDefault="00E85E46" w:rsidP="00FA1D74">
      <w:pPr>
        <w:spacing w:line="240" w:lineRule="auto"/>
        <w:jc w:val="both"/>
        <w:rPr>
          <w:rFonts w:ascii="Franklin Gothic Medium" w:hAnsi="Franklin Gothic Medium" w:cstheme="minorHAnsi"/>
          <w:color w:val="000000"/>
          <w:lang w:val="en-US"/>
        </w:rPr>
      </w:pPr>
    </w:p>
    <w:p w14:paraId="12157843" w14:textId="5CB36C4B" w:rsidR="00E85E46" w:rsidRDefault="00E85E46" w:rsidP="00FA1D74">
      <w:pPr>
        <w:spacing w:line="240" w:lineRule="auto"/>
        <w:jc w:val="both"/>
        <w:rPr>
          <w:rFonts w:ascii="Franklin Gothic Medium" w:hAnsi="Franklin Gothic Medium" w:cstheme="minorHAnsi"/>
          <w:color w:val="000000"/>
          <w:lang w:val="en-US"/>
        </w:rPr>
      </w:pPr>
    </w:p>
    <w:p w14:paraId="6A4E5DCC" w14:textId="5B71522B" w:rsidR="00E85E46" w:rsidRDefault="00E85E46" w:rsidP="00FA1D74">
      <w:pPr>
        <w:spacing w:line="240" w:lineRule="auto"/>
        <w:jc w:val="both"/>
        <w:rPr>
          <w:rFonts w:ascii="Franklin Gothic Medium" w:hAnsi="Franklin Gothic Medium" w:cstheme="minorHAnsi"/>
          <w:color w:val="000000"/>
          <w:lang w:val="en-US"/>
        </w:rPr>
      </w:pPr>
    </w:p>
    <w:p w14:paraId="256A2D84" w14:textId="7560D806" w:rsidR="00E85E46" w:rsidRDefault="00E85E46" w:rsidP="00FA1D74">
      <w:pPr>
        <w:spacing w:line="240" w:lineRule="auto"/>
        <w:jc w:val="both"/>
        <w:rPr>
          <w:rFonts w:ascii="Franklin Gothic Medium" w:hAnsi="Franklin Gothic Medium" w:cstheme="minorHAnsi"/>
          <w:color w:val="000000"/>
          <w:lang w:val="en-US"/>
        </w:rPr>
      </w:pPr>
    </w:p>
    <w:p w14:paraId="1F4C4B6D" w14:textId="4CF66824" w:rsidR="00E85E46" w:rsidRDefault="00E85E46" w:rsidP="00FA1D74">
      <w:pPr>
        <w:spacing w:line="240" w:lineRule="auto"/>
        <w:jc w:val="both"/>
        <w:rPr>
          <w:rFonts w:ascii="Franklin Gothic Medium" w:hAnsi="Franklin Gothic Medium" w:cstheme="minorHAnsi"/>
          <w:color w:val="000000"/>
          <w:lang w:val="en-US"/>
        </w:rPr>
      </w:pPr>
    </w:p>
    <w:p w14:paraId="24061B3A" w14:textId="194F3400" w:rsidR="00E85E46" w:rsidRDefault="00E85E46" w:rsidP="00FA1D74">
      <w:pPr>
        <w:spacing w:line="240" w:lineRule="auto"/>
        <w:jc w:val="both"/>
        <w:rPr>
          <w:rFonts w:ascii="Franklin Gothic Medium" w:hAnsi="Franklin Gothic Medium" w:cstheme="minorHAnsi"/>
          <w:color w:val="000000"/>
          <w:lang w:val="en-US"/>
        </w:rPr>
      </w:pPr>
    </w:p>
    <w:p w14:paraId="0E8A92C2" w14:textId="752CDD23" w:rsidR="00E85E46" w:rsidRDefault="00E85E46" w:rsidP="00FA1D74">
      <w:pPr>
        <w:spacing w:line="240" w:lineRule="auto"/>
        <w:jc w:val="both"/>
        <w:rPr>
          <w:rFonts w:ascii="Franklin Gothic Medium" w:hAnsi="Franklin Gothic Medium" w:cstheme="minorHAnsi"/>
          <w:color w:val="000000"/>
          <w:lang w:val="en-US"/>
        </w:rPr>
      </w:pPr>
    </w:p>
    <w:p w14:paraId="552C7E8D" w14:textId="26FFC45C" w:rsidR="00E85E46" w:rsidRDefault="00E85E46" w:rsidP="00FA1D74">
      <w:pPr>
        <w:spacing w:line="240" w:lineRule="auto"/>
        <w:jc w:val="both"/>
        <w:rPr>
          <w:rFonts w:ascii="Franklin Gothic Medium" w:hAnsi="Franklin Gothic Medium" w:cstheme="minorHAnsi"/>
          <w:color w:val="000000"/>
          <w:lang w:val="en-US"/>
        </w:rPr>
      </w:pPr>
    </w:p>
    <w:p w14:paraId="3D1CCECB" w14:textId="153625A1" w:rsidR="00E85E46" w:rsidRDefault="00E85E46" w:rsidP="00FA1D74">
      <w:pPr>
        <w:spacing w:line="240" w:lineRule="auto"/>
        <w:jc w:val="both"/>
        <w:rPr>
          <w:rFonts w:ascii="Franklin Gothic Medium" w:hAnsi="Franklin Gothic Medium" w:cstheme="minorHAnsi"/>
          <w:color w:val="000000"/>
          <w:lang w:val="en-US"/>
        </w:rPr>
      </w:pPr>
    </w:p>
    <w:p w14:paraId="594E49D5" w14:textId="2B7360FF" w:rsidR="00E85E46" w:rsidRDefault="00E85E46" w:rsidP="00FA1D74">
      <w:pPr>
        <w:spacing w:line="240" w:lineRule="auto"/>
        <w:jc w:val="both"/>
        <w:rPr>
          <w:rFonts w:ascii="Franklin Gothic Medium" w:hAnsi="Franklin Gothic Medium" w:cstheme="minorHAnsi"/>
          <w:color w:val="000000"/>
          <w:lang w:val="en-US"/>
        </w:rPr>
      </w:pPr>
    </w:p>
    <w:p w14:paraId="045CF0B4" w14:textId="7C8AE99A" w:rsidR="00E85E46" w:rsidRDefault="00E85E46" w:rsidP="00FA1D74">
      <w:pPr>
        <w:spacing w:line="240" w:lineRule="auto"/>
        <w:jc w:val="both"/>
        <w:rPr>
          <w:rFonts w:ascii="Franklin Gothic Medium" w:hAnsi="Franklin Gothic Medium" w:cstheme="minorHAnsi"/>
          <w:color w:val="000000"/>
          <w:lang w:val="en-US"/>
        </w:rPr>
      </w:pPr>
    </w:p>
    <w:p w14:paraId="7830AC55" w14:textId="7E502E96" w:rsidR="00E85E46" w:rsidRDefault="00E85E46" w:rsidP="00FA1D74">
      <w:pPr>
        <w:spacing w:line="240" w:lineRule="auto"/>
        <w:jc w:val="both"/>
        <w:rPr>
          <w:rFonts w:ascii="Franklin Gothic Medium" w:hAnsi="Franklin Gothic Medium" w:cstheme="minorHAnsi"/>
          <w:color w:val="000000"/>
          <w:lang w:val="en-US"/>
        </w:rPr>
      </w:pPr>
    </w:p>
    <w:p w14:paraId="65183E7B" w14:textId="6E21D69D" w:rsidR="00E85E46" w:rsidRDefault="00E85E46" w:rsidP="00FA1D74">
      <w:pPr>
        <w:spacing w:line="240" w:lineRule="auto"/>
        <w:jc w:val="both"/>
        <w:rPr>
          <w:rFonts w:ascii="Franklin Gothic Medium" w:hAnsi="Franklin Gothic Medium" w:cstheme="minorHAnsi"/>
          <w:color w:val="000000"/>
          <w:lang w:val="en-US"/>
        </w:rPr>
      </w:pPr>
    </w:p>
    <w:p w14:paraId="23332E63" w14:textId="7D874E6C" w:rsidR="00E85E46" w:rsidRDefault="00E85E46" w:rsidP="00FA1D74">
      <w:pPr>
        <w:spacing w:line="240" w:lineRule="auto"/>
        <w:jc w:val="both"/>
        <w:rPr>
          <w:rFonts w:ascii="Franklin Gothic Medium" w:hAnsi="Franklin Gothic Medium" w:cstheme="minorHAnsi"/>
          <w:color w:val="000000"/>
          <w:lang w:val="en-US"/>
        </w:rPr>
      </w:pPr>
    </w:p>
    <w:p w14:paraId="4AD889DB" w14:textId="702D83E0" w:rsidR="00E85E46" w:rsidRDefault="00E85E46" w:rsidP="00FA1D74">
      <w:pPr>
        <w:spacing w:line="240" w:lineRule="auto"/>
        <w:jc w:val="both"/>
        <w:rPr>
          <w:rFonts w:ascii="Franklin Gothic Medium" w:hAnsi="Franklin Gothic Medium" w:cstheme="minorHAnsi"/>
          <w:color w:val="000000"/>
          <w:lang w:val="en-US"/>
        </w:rPr>
      </w:pPr>
    </w:p>
    <w:p w14:paraId="2B934FBD" w14:textId="6D5CA4EF" w:rsidR="00705143" w:rsidRDefault="00705143" w:rsidP="00BD79FF">
      <w:pPr>
        <w:rPr>
          <w:rFonts w:ascii="Franklin Gothic Medium" w:hAnsi="Franklin Gothic Medium" w:cstheme="minorHAnsi"/>
          <w:color w:val="000000"/>
          <w:lang w:val="en-US"/>
        </w:rPr>
        <w:sectPr w:rsidR="00705143" w:rsidSect="008F1D0C">
          <w:footerReference w:type="default" r:id="rId9"/>
          <w:pgSz w:w="11906" w:h="16838"/>
          <w:pgMar w:top="720" w:right="720" w:bottom="720" w:left="720" w:header="708" w:footer="708" w:gutter="0"/>
          <w:cols w:space="708"/>
          <w:docGrid w:linePitch="360"/>
        </w:sectPr>
      </w:pPr>
      <w:r>
        <w:rPr>
          <w:rFonts w:ascii="Franklin Gothic Medium" w:hAnsi="Franklin Gothic Medium" w:cstheme="minorHAnsi"/>
          <w:color w:val="000000"/>
          <w:lang w:val="en-US"/>
        </w:rPr>
        <w:br w:type="page"/>
      </w:r>
    </w:p>
    <w:p w14:paraId="7DE7D426" w14:textId="6337DB85" w:rsidR="00E85E46" w:rsidRPr="00522C81" w:rsidRDefault="00E85E46" w:rsidP="00FA1D74">
      <w:pPr>
        <w:spacing w:line="240" w:lineRule="auto"/>
        <w:jc w:val="both"/>
        <w:rPr>
          <w:rFonts w:ascii="Franklin Gothic Medium" w:hAnsi="Franklin Gothic Medium" w:cstheme="minorHAnsi"/>
          <w:color w:val="000000"/>
          <w:lang w:val="en-US"/>
        </w:rPr>
      </w:pPr>
    </w:p>
    <w:p w14:paraId="57E8EDA9" w14:textId="27248707" w:rsidR="003364D5" w:rsidRPr="000439BF" w:rsidRDefault="003364D5" w:rsidP="003364D5">
      <w:pPr>
        <w:spacing w:line="240" w:lineRule="auto"/>
        <w:jc w:val="center"/>
        <w:rPr>
          <w:rFonts w:ascii="Franklin Gothic Medium" w:hAnsi="Franklin Gothic Medium"/>
          <w:b/>
          <w:bCs/>
          <w:color w:val="1F497D" w:themeColor="text2"/>
          <w:sz w:val="32"/>
          <w:szCs w:val="23"/>
          <w:lang w:val="en-US"/>
        </w:rPr>
      </w:pPr>
      <w:r w:rsidRPr="003364D5">
        <w:rPr>
          <w:rFonts w:ascii="Franklin Gothic Medium" w:hAnsi="Franklin Gothic Medium"/>
          <w:b/>
          <w:bCs/>
          <w:color w:val="1F497D" w:themeColor="text2"/>
          <w:sz w:val="32"/>
          <w:szCs w:val="23"/>
          <w:lang w:val="en-US"/>
        </w:rPr>
        <w:t>Table S_Τ YPAHES</w:t>
      </w:r>
      <w:r>
        <w:rPr>
          <w:rFonts w:ascii="Franklin Gothic Medium" w:hAnsi="Franklin Gothic Medium"/>
          <w:b/>
          <w:bCs/>
          <w:color w:val="1F497D" w:themeColor="text2"/>
          <w:sz w:val="32"/>
          <w:szCs w:val="23"/>
          <w:lang w:val="en-US"/>
        </w:rPr>
        <w:t>/</w:t>
      </w:r>
      <w:r w:rsidRPr="003364D5">
        <w:rPr>
          <w:rFonts w:ascii="Franklin Gothic Medium" w:hAnsi="Franklin Gothic Medium"/>
          <w:b/>
          <w:bCs/>
          <w:color w:val="1F497D" w:themeColor="text2"/>
          <w:sz w:val="32"/>
          <w:szCs w:val="23"/>
          <w:lang w:val="en-US"/>
        </w:rPr>
        <w:t>EDISP A.1112_2025</w:t>
      </w:r>
    </w:p>
    <w:tbl>
      <w:tblPr>
        <w:tblW w:w="15162" w:type="dxa"/>
        <w:tblLook w:val="04A0" w:firstRow="1" w:lastRow="0" w:firstColumn="1" w:lastColumn="0" w:noHBand="0" w:noVBand="1"/>
      </w:tblPr>
      <w:tblGrid>
        <w:gridCol w:w="868"/>
        <w:gridCol w:w="1715"/>
        <w:gridCol w:w="7157"/>
        <w:gridCol w:w="925"/>
        <w:gridCol w:w="1409"/>
        <w:gridCol w:w="1212"/>
        <w:gridCol w:w="937"/>
        <w:gridCol w:w="985"/>
      </w:tblGrid>
      <w:tr w:rsidR="00D678A7" w:rsidRPr="00A240A3" w14:paraId="05974D70" w14:textId="77777777" w:rsidTr="00D678A7">
        <w:trPr>
          <w:trHeight w:val="300"/>
          <w:tblHeader/>
        </w:trPr>
        <w:tc>
          <w:tcPr>
            <w:tcW w:w="868"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A9E248F" w14:textId="77777777" w:rsidR="00D678A7" w:rsidRPr="00A240A3" w:rsidRDefault="00D678A7" w:rsidP="00D678A7">
            <w:pPr>
              <w:spacing w:after="0" w:line="240" w:lineRule="auto"/>
              <w:jc w:val="center"/>
              <w:rPr>
                <w:rFonts w:ascii="Calibri" w:eastAsia="Times New Roman" w:hAnsi="Calibri" w:cs="Calibri"/>
                <w:b/>
                <w:bCs/>
                <w:sz w:val="16"/>
                <w:szCs w:val="16"/>
                <w:lang w:eastAsia="el-GR"/>
              </w:rPr>
            </w:pPr>
            <w:r w:rsidRPr="00A240A3">
              <w:rPr>
                <w:rFonts w:ascii="Calibri" w:eastAsia="Times New Roman" w:hAnsi="Calibri" w:cs="Calibri"/>
                <w:b/>
                <w:bCs/>
                <w:sz w:val="16"/>
                <w:szCs w:val="16"/>
                <w:lang w:eastAsia="el-GR"/>
              </w:rPr>
              <w:t>S/N</w:t>
            </w:r>
          </w:p>
        </w:tc>
        <w:tc>
          <w:tcPr>
            <w:tcW w:w="1715" w:type="dxa"/>
            <w:tcBorders>
              <w:top w:val="single" w:sz="4" w:space="0" w:color="auto"/>
              <w:left w:val="nil"/>
              <w:bottom w:val="single" w:sz="4" w:space="0" w:color="auto"/>
              <w:right w:val="single" w:sz="4" w:space="0" w:color="auto"/>
            </w:tcBorders>
            <w:shd w:val="clear" w:color="000000" w:fill="D6DCE4"/>
            <w:noWrap/>
            <w:vAlign w:val="center"/>
            <w:hideMark/>
          </w:tcPr>
          <w:p w14:paraId="0FED557F"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ARTICLES OF A.1112/2025</w:t>
            </w:r>
          </w:p>
        </w:tc>
        <w:tc>
          <w:tcPr>
            <w:tcW w:w="7157" w:type="dxa"/>
            <w:tcBorders>
              <w:top w:val="single" w:sz="4" w:space="0" w:color="auto"/>
              <w:left w:val="nil"/>
              <w:bottom w:val="single" w:sz="4" w:space="0" w:color="auto"/>
              <w:right w:val="single" w:sz="4" w:space="0" w:color="auto"/>
            </w:tcBorders>
            <w:shd w:val="clear" w:color="000000" w:fill="D6DCE4"/>
            <w:noWrap/>
            <w:vAlign w:val="center"/>
            <w:hideMark/>
          </w:tcPr>
          <w:p w14:paraId="1EF5B0EC"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SPECIFICATION UNDER A.1112/2025</w:t>
            </w:r>
          </w:p>
        </w:tc>
        <w:tc>
          <w:tcPr>
            <w:tcW w:w="925" w:type="dxa"/>
            <w:tcBorders>
              <w:top w:val="single" w:sz="4" w:space="0" w:color="auto"/>
              <w:left w:val="nil"/>
              <w:bottom w:val="single" w:sz="4" w:space="0" w:color="auto"/>
              <w:right w:val="single" w:sz="4" w:space="0" w:color="auto"/>
            </w:tcBorders>
            <w:shd w:val="clear" w:color="000000" w:fill="D6DCE4"/>
            <w:noWrap/>
            <w:vAlign w:val="center"/>
            <w:hideMark/>
          </w:tcPr>
          <w:p w14:paraId="529101A9"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PROVIDER</w:t>
            </w:r>
          </w:p>
        </w:tc>
        <w:tc>
          <w:tcPr>
            <w:tcW w:w="1384" w:type="dxa"/>
            <w:tcBorders>
              <w:top w:val="single" w:sz="4" w:space="0" w:color="auto"/>
              <w:left w:val="nil"/>
              <w:bottom w:val="single" w:sz="4" w:space="0" w:color="auto"/>
              <w:right w:val="single" w:sz="4" w:space="0" w:color="auto"/>
            </w:tcBorders>
            <w:shd w:val="clear" w:color="000000" w:fill="D6DCE4"/>
            <w:noWrap/>
            <w:vAlign w:val="center"/>
            <w:hideMark/>
          </w:tcPr>
          <w:p w14:paraId="1FF98584"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SELF-PROVIDER</w:t>
            </w:r>
          </w:p>
        </w:tc>
        <w:tc>
          <w:tcPr>
            <w:tcW w:w="1191" w:type="dxa"/>
            <w:tcBorders>
              <w:top w:val="single" w:sz="4" w:space="0" w:color="auto"/>
              <w:left w:val="nil"/>
              <w:bottom w:val="single" w:sz="4" w:space="0" w:color="auto"/>
              <w:right w:val="single" w:sz="4" w:space="0" w:color="auto"/>
            </w:tcBorders>
            <w:shd w:val="clear" w:color="000000" w:fill="D6DCE4"/>
            <w:noWrap/>
            <w:vAlign w:val="center"/>
            <w:hideMark/>
          </w:tcPr>
          <w:p w14:paraId="4283D99E"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REQUIREMENT</w:t>
            </w:r>
          </w:p>
        </w:tc>
        <w:tc>
          <w:tcPr>
            <w:tcW w:w="937" w:type="dxa"/>
            <w:tcBorders>
              <w:top w:val="single" w:sz="4" w:space="0" w:color="auto"/>
              <w:left w:val="nil"/>
              <w:bottom w:val="single" w:sz="4" w:space="0" w:color="auto"/>
              <w:right w:val="single" w:sz="4" w:space="0" w:color="auto"/>
            </w:tcBorders>
            <w:shd w:val="clear" w:color="000000" w:fill="D6DCE4"/>
            <w:noWrap/>
            <w:vAlign w:val="center"/>
            <w:hideMark/>
          </w:tcPr>
          <w:p w14:paraId="574052DF"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RESPONSE</w:t>
            </w:r>
          </w:p>
        </w:tc>
        <w:tc>
          <w:tcPr>
            <w:tcW w:w="985" w:type="dxa"/>
            <w:tcBorders>
              <w:top w:val="single" w:sz="4" w:space="0" w:color="auto"/>
              <w:left w:val="nil"/>
              <w:bottom w:val="single" w:sz="4" w:space="0" w:color="auto"/>
              <w:right w:val="single" w:sz="4" w:space="0" w:color="auto"/>
            </w:tcBorders>
            <w:shd w:val="clear" w:color="000000" w:fill="D6DCE4"/>
            <w:noWrap/>
            <w:vAlign w:val="center"/>
            <w:hideMark/>
          </w:tcPr>
          <w:p w14:paraId="59B811FF" w14:textId="77777777" w:rsidR="00D678A7" w:rsidRPr="00A240A3" w:rsidRDefault="00D678A7" w:rsidP="00D678A7">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REFERENCE</w:t>
            </w:r>
          </w:p>
        </w:tc>
      </w:tr>
      <w:tr w:rsidR="00D678A7" w:rsidRPr="00A240A3" w14:paraId="7516EA81" w14:textId="77777777" w:rsidTr="00D678A7">
        <w:trPr>
          <w:trHeight w:val="168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882877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w:t>
            </w:r>
          </w:p>
        </w:tc>
        <w:tc>
          <w:tcPr>
            <w:tcW w:w="1715" w:type="dxa"/>
            <w:tcBorders>
              <w:top w:val="nil"/>
              <w:left w:val="nil"/>
              <w:bottom w:val="single" w:sz="4" w:space="0" w:color="auto"/>
              <w:right w:val="single" w:sz="4" w:space="0" w:color="auto"/>
            </w:tcBorders>
            <w:shd w:val="clear" w:color="auto" w:fill="auto"/>
            <w:vAlign w:val="center"/>
            <w:hideMark/>
          </w:tcPr>
          <w:p w14:paraId="6292FE5F"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3 </w:t>
            </w:r>
            <w:r w:rsidRPr="00A240A3">
              <w:rPr>
                <w:rFonts w:ascii="Calibri" w:eastAsia="Times New Roman" w:hAnsi="Calibri" w:cs="Calibri"/>
                <w:sz w:val="20"/>
                <w:szCs w:val="20"/>
                <w:lang w:val="en-US" w:eastAsia="el-GR"/>
              </w:rPr>
              <w:br/>
              <w:t>Conditions for the granting of a “suitability license” for the software of the Provider or the Self-Provider of Electronic Invoicing.</w:t>
            </w:r>
          </w:p>
        </w:tc>
        <w:tc>
          <w:tcPr>
            <w:tcW w:w="7157" w:type="dxa"/>
            <w:tcBorders>
              <w:top w:val="nil"/>
              <w:left w:val="nil"/>
              <w:bottom w:val="single" w:sz="4" w:space="0" w:color="auto"/>
              <w:right w:val="single" w:sz="4" w:space="0" w:color="auto"/>
            </w:tcBorders>
            <w:shd w:val="clear" w:color="auto" w:fill="auto"/>
            <w:vAlign w:val="center"/>
            <w:hideMark/>
          </w:tcPr>
          <w:p w14:paraId="3C357A2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3.1) A “Suitability License (YPAHES-EDISP)” may be granted to any legal person or legal entity that has its registered office or operates through a permanent establishment in Greece, in accordance with Article 6 of law 4172/2013.</w:t>
            </w:r>
          </w:p>
        </w:tc>
        <w:tc>
          <w:tcPr>
            <w:tcW w:w="925" w:type="dxa"/>
            <w:tcBorders>
              <w:top w:val="nil"/>
              <w:left w:val="nil"/>
              <w:bottom w:val="single" w:sz="4" w:space="0" w:color="auto"/>
              <w:right w:val="single" w:sz="4" w:space="0" w:color="auto"/>
            </w:tcBorders>
            <w:shd w:val="clear" w:color="000000" w:fill="DDEBF7"/>
            <w:vAlign w:val="center"/>
            <w:hideMark/>
          </w:tcPr>
          <w:p w14:paraId="6A9CC6E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B87220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A310A1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65BBF0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8BC911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A15B7B5" w14:textId="77777777" w:rsidTr="00D678A7">
        <w:trPr>
          <w:trHeight w:val="204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B2F5E4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w:t>
            </w:r>
          </w:p>
        </w:tc>
        <w:tc>
          <w:tcPr>
            <w:tcW w:w="1715" w:type="dxa"/>
            <w:tcBorders>
              <w:top w:val="nil"/>
              <w:left w:val="nil"/>
              <w:bottom w:val="single" w:sz="4" w:space="0" w:color="auto"/>
              <w:right w:val="single" w:sz="4" w:space="0" w:color="auto"/>
            </w:tcBorders>
            <w:shd w:val="clear" w:color="auto" w:fill="auto"/>
            <w:vAlign w:val="center"/>
            <w:hideMark/>
          </w:tcPr>
          <w:p w14:paraId="333FEC8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6610B99"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3.2) The Provider or the Self-Provider shall be required to:</w:t>
            </w:r>
            <w:r w:rsidRPr="00A240A3">
              <w:rPr>
                <w:rFonts w:ascii="Calibri" w:eastAsia="Times New Roman" w:hAnsi="Calibri" w:cs="Calibri"/>
                <w:sz w:val="20"/>
                <w:szCs w:val="20"/>
                <w:lang w:val="en-US" w:eastAsia="el-GR"/>
              </w:rPr>
              <w:br/>
              <w:t>a) Maintain adequate technical personnel for the customer network they serve.</w:t>
            </w:r>
            <w:r w:rsidRPr="00A240A3">
              <w:rPr>
                <w:rFonts w:ascii="Calibri" w:eastAsia="Times New Roman" w:hAnsi="Calibri" w:cs="Calibri"/>
                <w:sz w:val="20"/>
                <w:szCs w:val="20"/>
                <w:lang w:val="en-US" w:eastAsia="el-GR"/>
              </w:rPr>
              <w:br/>
              <w:t>b) Maintain a documented and verifiable security policy for the retention of digital data either at the group level or at the entity level. The security policy for the retention of invoice data shall be substantiated by an ISO-27001 Security Certificate or any other Security Certificate deemed by the Committee to meet equivalent      standards concerning the assurance of confidentiality, integrity, and availability of digital data during their storage and transmission.</w:t>
            </w:r>
            <w:r w:rsidRPr="00A240A3">
              <w:rPr>
                <w:rFonts w:ascii="Calibri" w:eastAsia="Times New Roman" w:hAnsi="Calibri" w:cs="Calibri"/>
                <w:sz w:val="20"/>
                <w:szCs w:val="20"/>
                <w:lang w:val="en-US" w:eastAsia="el-GR"/>
              </w:rPr>
              <w:br/>
              <w:t>c) Have financial solvency throughout the support period of the software for which they have been granted a suitability license.</w:t>
            </w:r>
            <w:r w:rsidRPr="00A240A3">
              <w:rPr>
                <w:rFonts w:ascii="Calibri" w:eastAsia="Times New Roman" w:hAnsi="Calibri" w:cs="Calibri"/>
                <w:sz w:val="20"/>
                <w:szCs w:val="20"/>
                <w:lang w:val="en-US" w:eastAsia="el-GR"/>
              </w:rPr>
              <w:br/>
              <w:t>d) Maintain within the territory of the European Union the data relating to the issued documents.</w:t>
            </w:r>
          </w:p>
        </w:tc>
        <w:tc>
          <w:tcPr>
            <w:tcW w:w="925" w:type="dxa"/>
            <w:tcBorders>
              <w:top w:val="nil"/>
              <w:left w:val="nil"/>
              <w:bottom w:val="single" w:sz="4" w:space="0" w:color="auto"/>
              <w:right w:val="single" w:sz="4" w:space="0" w:color="auto"/>
            </w:tcBorders>
            <w:shd w:val="clear" w:color="000000" w:fill="DDEBF7"/>
            <w:vAlign w:val="center"/>
            <w:hideMark/>
          </w:tcPr>
          <w:p w14:paraId="4406B44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03F4E3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7A7FA2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233AAA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326299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2031D28"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E35634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3_1</w:t>
            </w:r>
          </w:p>
        </w:tc>
        <w:tc>
          <w:tcPr>
            <w:tcW w:w="1715" w:type="dxa"/>
            <w:tcBorders>
              <w:top w:val="nil"/>
              <w:left w:val="nil"/>
              <w:bottom w:val="single" w:sz="4" w:space="0" w:color="auto"/>
              <w:right w:val="single" w:sz="4" w:space="0" w:color="auto"/>
            </w:tcBorders>
            <w:shd w:val="clear" w:color="auto" w:fill="auto"/>
            <w:vAlign w:val="center"/>
            <w:hideMark/>
          </w:tcPr>
          <w:p w14:paraId="012EBAC5"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4 </w:t>
            </w:r>
            <w:r w:rsidRPr="00A240A3">
              <w:rPr>
                <w:rFonts w:ascii="Calibri" w:eastAsia="Times New Roman" w:hAnsi="Calibri" w:cs="Calibri"/>
                <w:sz w:val="20"/>
                <w:szCs w:val="20"/>
                <w:lang w:val="en-US" w:eastAsia="el-GR"/>
              </w:rPr>
              <w:br/>
              <w:t>Procedure for granting the “suitability license” for the software of Electronic Invoicing</w:t>
            </w:r>
          </w:p>
        </w:tc>
        <w:tc>
          <w:tcPr>
            <w:tcW w:w="7157" w:type="dxa"/>
            <w:tcBorders>
              <w:top w:val="nil"/>
              <w:left w:val="nil"/>
              <w:bottom w:val="single" w:sz="4" w:space="0" w:color="auto"/>
              <w:right w:val="single" w:sz="4" w:space="0" w:color="auto"/>
            </w:tcBorders>
            <w:shd w:val="clear" w:color="auto" w:fill="auto"/>
            <w:vAlign w:val="center"/>
            <w:hideMark/>
          </w:tcPr>
          <w:p w14:paraId="78BFC379" w14:textId="0EA94CFB"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4.2) The entity applying for </w:t>
            </w:r>
            <w:r w:rsidR="004E2238" w:rsidRPr="00A240A3">
              <w:rPr>
                <w:rFonts w:ascii="Calibri" w:eastAsia="Times New Roman" w:hAnsi="Calibri" w:cs="Calibri"/>
                <w:sz w:val="20"/>
                <w:szCs w:val="20"/>
                <w:lang w:val="en-US" w:eastAsia="el-GR"/>
              </w:rPr>
              <w:t>a</w:t>
            </w:r>
            <w:r w:rsidRPr="00A240A3">
              <w:rPr>
                <w:rFonts w:ascii="Calibri" w:eastAsia="Times New Roman" w:hAnsi="Calibri" w:cs="Calibri"/>
                <w:sz w:val="20"/>
                <w:szCs w:val="20"/>
                <w:lang w:val="en-US" w:eastAsia="el-GR"/>
              </w:rPr>
              <w:t xml:space="preserve"> "Y.PA.H.E.S.” / E.D.I.S.P." suitability license shall submit to the Committee:</w:t>
            </w:r>
            <w:r w:rsidRPr="00A240A3">
              <w:rPr>
                <w:rFonts w:ascii="Calibri" w:eastAsia="Times New Roman" w:hAnsi="Calibri" w:cs="Calibri"/>
                <w:sz w:val="20"/>
                <w:szCs w:val="20"/>
                <w:lang w:val="en-US" w:eastAsia="el-GR"/>
              </w:rPr>
              <w:br/>
              <w:t>a) Complete description of the process for issuing sales documents as well as the technical methodology that ensures the secure authentication (certification of origin, content integrity) of the documents.</w:t>
            </w:r>
          </w:p>
        </w:tc>
        <w:tc>
          <w:tcPr>
            <w:tcW w:w="925" w:type="dxa"/>
            <w:tcBorders>
              <w:top w:val="nil"/>
              <w:left w:val="nil"/>
              <w:bottom w:val="single" w:sz="4" w:space="0" w:color="auto"/>
              <w:right w:val="single" w:sz="4" w:space="0" w:color="auto"/>
            </w:tcBorders>
            <w:shd w:val="clear" w:color="000000" w:fill="DDEBF7"/>
            <w:vAlign w:val="center"/>
            <w:hideMark/>
          </w:tcPr>
          <w:p w14:paraId="6FBAE3B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FBF5C2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B3FB25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5AA846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9A675D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083437F"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C826AE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3_2</w:t>
            </w:r>
          </w:p>
        </w:tc>
        <w:tc>
          <w:tcPr>
            <w:tcW w:w="1715" w:type="dxa"/>
            <w:tcBorders>
              <w:top w:val="nil"/>
              <w:left w:val="nil"/>
              <w:bottom w:val="single" w:sz="4" w:space="0" w:color="auto"/>
              <w:right w:val="single" w:sz="4" w:space="0" w:color="auto"/>
            </w:tcBorders>
            <w:shd w:val="clear" w:color="auto" w:fill="auto"/>
            <w:vAlign w:val="center"/>
            <w:hideMark/>
          </w:tcPr>
          <w:p w14:paraId="324B5AE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FEB6B6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b) Full description of the implementation method of the software interfaces used for communication of the entity or of the physical points of data issuance with the Provider or Self-Provider respectively (operational documentation).</w:t>
            </w:r>
          </w:p>
        </w:tc>
        <w:tc>
          <w:tcPr>
            <w:tcW w:w="925" w:type="dxa"/>
            <w:tcBorders>
              <w:top w:val="nil"/>
              <w:left w:val="nil"/>
              <w:bottom w:val="single" w:sz="4" w:space="0" w:color="auto"/>
              <w:right w:val="single" w:sz="4" w:space="0" w:color="auto"/>
            </w:tcBorders>
            <w:shd w:val="clear" w:color="000000" w:fill="DDEBF7"/>
            <w:vAlign w:val="center"/>
            <w:hideMark/>
          </w:tcPr>
          <w:p w14:paraId="5583D7D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DFCE86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A6D0E0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4BF6B5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E8507A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BBE3D07"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6C130F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3_3</w:t>
            </w:r>
          </w:p>
        </w:tc>
        <w:tc>
          <w:tcPr>
            <w:tcW w:w="1715" w:type="dxa"/>
            <w:tcBorders>
              <w:top w:val="nil"/>
              <w:left w:val="nil"/>
              <w:bottom w:val="single" w:sz="4" w:space="0" w:color="auto"/>
              <w:right w:val="single" w:sz="4" w:space="0" w:color="auto"/>
            </w:tcBorders>
            <w:shd w:val="clear" w:color="auto" w:fill="auto"/>
            <w:vAlign w:val="center"/>
            <w:hideMark/>
          </w:tcPr>
          <w:p w14:paraId="3C800E5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7B298DD" w14:textId="7191961A"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c) Samples of documents (in the case of the Self-Provider, it is not required a sample of the entire set of documents, but</w:t>
            </w:r>
            <w:r w:rsidR="000E6F2E">
              <w:rPr>
                <w:rFonts w:ascii="Calibri" w:eastAsia="Times New Roman" w:hAnsi="Calibri" w:cs="Calibri"/>
                <w:sz w:val="20"/>
                <w:szCs w:val="20"/>
                <w:lang w:val="en-US" w:eastAsia="el-GR"/>
              </w:rPr>
              <w:t xml:space="preserve"> instead</w:t>
            </w:r>
            <w:r w:rsidRPr="00A240A3">
              <w:rPr>
                <w:rFonts w:ascii="Calibri" w:eastAsia="Times New Roman" w:hAnsi="Calibri" w:cs="Calibri"/>
                <w:sz w:val="20"/>
                <w:szCs w:val="20"/>
                <w:lang w:val="en-US" w:eastAsia="el-GR"/>
              </w:rPr>
              <w:t xml:space="preserve"> a sample of the types of documents included in its licensing application). </w:t>
            </w:r>
          </w:p>
        </w:tc>
        <w:tc>
          <w:tcPr>
            <w:tcW w:w="925" w:type="dxa"/>
            <w:tcBorders>
              <w:top w:val="nil"/>
              <w:left w:val="nil"/>
              <w:bottom w:val="single" w:sz="4" w:space="0" w:color="auto"/>
              <w:right w:val="single" w:sz="4" w:space="0" w:color="auto"/>
            </w:tcBorders>
            <w:shd w:val="clear" w:color="000000" w:fill="DDEBF7"/>
            <w:vAlign w:val="center"/>
            <w:hideMark/>
          </w:tcPr>
          <w:p w14:paraId="399F22C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906645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543557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332682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FD1B94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B17DFCE"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C37F3A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3_4</w:t>
            </w:r>
          </w:p>
        </w:tc>
        <w:tc>
          <w:tcPr>
            <w:tcW w:w="1715" w:type="dxa"/>
            <w:tcBorders>
              <w:top w:val="nil"/>
              <w:left w:val="nil"/>
              <w:bottom w:val="single" w:sz="4" w:space="0" w:color="auto"/>
              <w:right w:val="single" w:sz="4" w:space="0" w:color="auto"/>
            </w:tcBorders>
            <w:shd w:val="clear" w:color="auto" w:fill="auto"/>
            <w:vAlign w:val="center"/>
            <w:hideMark/>
          </w:tcPr>
          <w:p w14:paraId="398B642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38CEF4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d) Full description of the process for transmitting the required data of each issued document to the IAPR, using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interface, as referred to in Annex B.</w:t>
            </w:r>
          </w:p>
        </w:tc>
        <w:tc>
          <w:tcPr>
            <w:tcW w:w="925" w:type="dxa"/>
            <w:tcBorders>
              <w:top w:val="nil"/>
              <w:left w:val="nil"/>
              <w:bottom w:val="single" w:sz="4" w:space="0" w:color="auto"/>
              <w:right w:val="single" w:sz="4" w:space="0" w:color="auto"/>
            </w:tcBorders>
            <w:shd w:val="clear" w:color="000000" w:fill="DDEBF7"/>
            <w:vAlign w:val="center"/>
            <w:hideMark/>
          </w:tcPr>
          <w:p w14:paraId="40C42D7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112052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B5D775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BB86FA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DA0C0F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4FAFB8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DF1C97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3_5</w:t>
            </w:r>
          </w:p>
        </w:tc>
        <w:tc>
          <w:tcPr>
            <w:tcW w:w="1715" w:type="dxa"/>
            <w:tcBorders>
              <w:top w:val="nil"/>
              <w:left w:val="nil"/>
              <w:bottom w:val="single" w:sz="4" w:space="0" w:color="auto"/>
              <w:right w:val="single" w:sz="4" w:space="0" w:color="auto"/>
            </w:tcBorders>
            <w:shd w:val="clear" w:color="auto" w:fill="auto"/>
            <w:vAlign w:val="center"/>
            <w:hideMark/>
          </w:tcPr>
          <w:p w14:paraId="6FCA95B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9DEBCB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e) Binding draft standard contract, that signs with the contracting entities for the use of the licensed software (not provided in the case of the Self-Provider).</w:t>
            </w:r>
          </w:p>
        </w:tc>
        <w:tc>
          <w:tcPr>
            <w:tcW w:w="925" w:type="dxa"/>
            <w:tcBorders>
              <w:top w:val="nil"/>
              <w:left w:val="nil"/>
              <w:bottom w:val="single" w:sz="4" w:space="0" w:color="auto"/>
              <w:right w:val="single" w:sz="4" w:space="0" w:color="auto"/>
            </w:tcBorders>
            <w:shd w:val="clear" w:color="000000" w:fill="DDEBF7"/>
            <w:vAlign w:val="center"/>
            <w:hideMark/>
          </w:tcPr>
          <w:p w14:paraId="00FB731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97BA17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26EEE14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54412F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F9868D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A26E53A"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B8FB0A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3_6</w:t>
            </w:r>
          </w:p>
        </w:tc>
        <w:tc>
          <w:tcPr>
            <w:tcW w:w="1715" w:type="dxa"/>
            <w:tcBorders>
              <w:top w:val="nil"/>
              <w:left w:val="nil"/>
              <w:bottom w:val="single" w:sz="4" w:space="0" w:color="auto"/>
              <w:right w:val="single" w:sz="4" w:space="0" w:color="auto"/>
            </w:tcBorders>
            <w:shd w:val="clear" w:color="auto" w:fill="auto"/>
            <w:vAlign w:val="center"/>
            <w:hideMark/>
          </w:tcPr>
          <w:p w14:paraId="2278A4E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95AE82B" w14:textId="4CE6026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f) </w:t>
            </w:r>
            <w:r w:rsidR="00FC1F39" w:rsidRPr="00FC1F39">
              <w:rPr>
                <w:rFonts w:ascii="Calibri" w:eastAsia="Times New Roman" w:hAnsi="Calibri" w:cs="Calibri"/>
                <w:sz w:val="20"/>
                <w:szCs w:val="20"/>
                <w:lang w:val="en-US" w:eastAsia="el-GR"/>
              </w:rPr>
              <w:t xml:space="preserve">Documentation of the interconnection procedure of the cash systems </w:t>
            </w:r>
            <w:r w:rsidRPr="00A240A3">
              <w:rPr>
                <w:rFonts w:ascii="Calibri" w:eastAsia="Times New Roman" w:hAnsi="Calibri" w:cs="Calibri"/>
                <w:sz w:val="20"/>
                <w:szCs w:val="20"/>
                <w:lang w:val="en-US" w:eastAsia="el-GR"/>
              </w:rPr>
              <w:t>of the Payment Service Users and the Payment Instruments (EFT/POS), in accordance with the provisions of the A.1155/2023 decision of the Governor of the Independent Authority for Public Revenue, provided that the software supports retail transactions.</w:t>
            </w:r>
          </w:p>
        </w:tc>
        <w:tc>
          <w:tcPr>
            <w:tcW w:w="925" w:type="dxa"/>
            <w:tcBorders>
              <w:top w:val="nil"/>
              <w:left w:val="nil"/>
              <w:bottom w:val="single" w:sz="4" w:space="0" w:color="auto"/>
              <w:right w:val="single" w:sz="4" w:space="0" w:color="auto"/>
            </w:tcBorders>
            <w:shd w:val="clear" w:color="000000" w:fill="DDEBF7"/>
            <w:vAlign w:val="center"/>
            <w:hideMark/>
          </w:tcPr>
          <w:p w14:paraId="7F89809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916882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071363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23A198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9F2FED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11E7A2C"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134D69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w:t>
            </w:r>
          </w:p>
        </w:tc>
        <w:tc>
          <w:tcPr>
            <w:tcW w:w="1715" w:type="dxa"/>
            <w:tcBorders>
              <w:top w:val="nil"/>
              <w:left w:val="nil"/>
              <w:bottom w:val="single" w:sz="4" w:space="0" w:color="auto"/>
              <w:right w:val="single" w:sz="4" w:space="0" w:color="auto"/>
            </w:tcBorders>
            <w:shd w:val="clear" w:color="auto" w:fill="auto"/>
            <w:vAlign w:val="center"/>
            <w:hideMark/>
          </w:tcPr>
          <w:p w14:paraId="1318FD4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0B95D0B"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3) [...] The Provider is obliged to submit a request for extension of the licensing in the case of software that has already been approved and is being upgraded to support the interconnection of Cash Systems and Payment Instruments (EFT/POS) in accordance with the provisions of Annex C. Given that the said devices or software may operate autonomously or be integrated into a single device (All in one – Cash Register/POS), each mode of operation requires explicit inclusion in the suitability license. In the case of licensing exclusively for one mode (autonomy or integration into a single device), licensing for the other mode requires a new request.</w:t>
            </w:r>
          </w:p>
        </w:tc>
        <w:tc>
          <w:tcPr>
            <w:tcW w:w="925" w:type="dxa"/>
            <w:tcBorders>
              <w:top w:val="nil"/>
              <w:left w:val="nil"/>
              <w:bottom w:val="single" w:sz="4" w:space="0" w:color="auto"/>
              <w:right w:val="single" w:sz="4" w:space="0" w:color="auto"/>
            </w:tcBorders>
            <w:shd w:val="clear" w:color="000000" w:fill="DDEBF7"/>
            <w:vAlign w:val="center"/>
            <w:hideMark/>
          </w:tcPr>
          <w:p w14:paraId="2233371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1D4CA1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7B58B2C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4D097B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1597D0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948DE40"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9418A6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w:t>
            </w:r>
          </w:p>
        </w:tc>
        <w:tc>
          <w:tcPr>
            <w:tcW w:w="1715" w:type="dxa"/>
            <w:tcBorders>
              <w:top w:val="nil"/>
              <w:left w:val="nil"/>
              <w:bottom w:val="single" w:sz="4" w:space="0" w:color="auto"/>
              <w:right w:val="single" w:sz="4" w:space="0" w:color="auto"/>
            </w:tcBorders>
            <w:shd w:val="clear" w:color="auto" w:fill="auto"/>
            <w:vAlign w:val="center"/>
            <w:hideMark/>
          </w:tcPr>
          <w:p w14:paraId="32686A6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AC647CB"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4) For any modification or upgrade of the "“Y.PA.H.E.S.” / E.D.I.S.P." software, which has received a suitability license, the Provider or the Self-Provider shall submit a relevant request with a description of the proposed changes to the Committee. </w:t>
            </w:r>
            <w:r w:rsidRPr="00A240A3">
              <w:rPr>
                <w:rFonts w:ascii="Calibri" w:eastAsia="Times New Roman" w:hAnsi="Calibri" w:cs="Calibri"/>
                <w:sz w:val="20"/>
                <w:szCs w:val="20"/>
                <w:lang w:eastAsia="el-GR"/>
              </w:rPr>
              <w:t xml:space="preserve">The Committee </w:t>
            </w:r>
            <w:proofErr w:type="spellStart"/>
            <w:r w:rsidRPr="00A240A3">
              <w:rPr>
                <w:rFonts w:ascii="Calibri" w:eastAsia="Times New Roman" w:hAnsi="Calibri" w:cs="Calibri"/>
                <w:sz w:val="20"/>
                <w:szCs w:val="20"/>
                <w:lang w:eastAsia="el-GR"/>
              </w:rPr>
              <w:t>shall</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then</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decide</w:t>
            </w:r>
            <w:proofErr w:type="spellEnd"/>
            <w:r w:rsidRPr="00A240A3">
              <w:rPr>
                <w:rFonts w:ascii="Calibri" w:eastAsia="Times New Roman" w:hAnsi="Calibri" w:cs="Calibri"/>
                <w:sz w:val="20"/>
                <w:szCs w:val="20"/>
                <w:lang w:eastAsia="el-GR"/>
              </w:rPr>
              <w:t xml:space="preserve"> on the </w:t>
            </w:r>
            <w:proofErr w:type="spellStart"/>
            <w:r w:rsidRPr="00A240A3">
              <w:rPr>
                <w:rFonts w:ascii="Calibri" w:eastAsia="Times New Roman" w:hAnsi="Calibri" w:cs="Calibri"/>
                <w:sz w:val="20"/>
                <w:szCs w:val="20"/>
                <w:lang w:eastAsia="el-GR"/>
              </w:rPr>
              <w:t>request</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53BD278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AA3249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FBE881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B76F99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E5335E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6541150"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B83219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w:t>
            </w:r>
          </w:p>
        </w:tc>
        <w:tc>
          <w:tcPr>
            <w:tcW w:w="1715" w:type="dxa"/>
            <w:tcBorders>
              <w:top w:val="nil"/>
              <w:left w:val="nil"/>
              <w:bottom w:val="single" w:sz="4" w:space="0" w:color="auto"/>
              <w:right w:val="single" w:sz="4" w:space="0" w:color="auto"/>
            </w:tcBorders>
            <w:shd w:val="clear" w:color="auto" w:fill="auto"/>
            <w:vAlign w:val="center"/>
            <w:hideMark/>
          </w:tcPr>
          <w:p w14:paraId="40AC0CE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37891A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6) In the event of an update of specifications by the IAPR, the Provider and the Self-Provider are obliged to comply with them within fifteen (15) days from the date on which each newer version of the digital platform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that incorporates the said specifications is put into production. In this case, the procedure of paragraph 4 is not followed.</w:t>
            </w:r>
          </w:p>
        </w:tc>
        <w:tc>
          <w:tcPr>
            <w:tcW w:w="925" w:type="dxa"/>
            <w:tcBorders>
              <w:top w:val="nil"/>
              <w:left w:val="nil"/>
              <w:bottom w:val="single" w:sz="4" w:space="0" w:color="auto"/>
              <w:right w:val="single" w:sz="4" w:space="0" w:color="auto"/>
            </w:tcBorders>
            <w:shd w:val="clear" w:color="000000" w:fill="DDEBF7"/>
            <w:vAlign w:val="center"/>
            <w:hideMark/>
          </w:tcPr>
          <w:p w14:paraId="6377836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AFA312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B3BD03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0AF0F4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6E97C5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CC0F639"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228FFA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7</w:t>
            </w:r>
          </w:p>
        </w:tc>
        <w:tc>
          <w:tcPr>
            <w:tcW w:w="1715" w:type="dxa"/>
            <w:tcBorders>
              <w:top w:val="nil"/>
              <w:left w:val="nil"/>
              <w:bottom w:val="single" w:sz="4" w:space="0" w:color="auto"/>
              <w:right w:val="single" w:sz="4" w:space="0" w:color="auto"/>
            </w:tcBorders>
            <w:shd w:val="clear" w:color="auto" w:fill="auto"/>
            <w:vAlign w:val="center"/>
            <w:hideMark/>
          </w:tcPr>
          <w:p w14:paraId="19E3ADF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proofErr w:type="spellStart"/>
            <w:r w:rsidRPr="00A240A3">
              <w:rPr>
                <w:rFonts w:ascii="Calibri" w:eastAsia="Times New Roman" w:hAnsi="Calibri" w:cs="Calibri"/>
                <w:sz w:val="20"/>
                <w:szCs w:val="20"/>
                <w:lang w:eastAsia="el-GR"/>
              </w:rPr>
              <w:t>Article</w:t>
            </w:r>
            <w:proofErr w:type="spellEnd"/>
            <w:r w:rsidRPr="00A240A3">
              <w:rPr>
                <w:rFonts w:ascii="Calibri" w:eastAsia="Times New Roman" w:hAnsi="Calibri" w:cs="Calibri"/>
                <w:sz w:val="20"/>
                <w:szCs w:val="20"/>
                <w:lang w:eastAsia="el-GR"/>
              </w:rPr>
              <w:t xml:space="preserve"> 5                                              </w:t>
            </w:r>
            <w:r w:rsidRPr="00A240A3">
              <w:rPr>
                <w:rFonts w:ascii="Calibri" w:eastAsia="Times New Roman" w:hAnsi="Calibri" w:cs="Calibri"/>
                <w:sz w:val="20"/>
                <w:szCs w:val="20"/>
                <w:lang w:eastAsia="el-GR"/>
              </w:rPr>
              <w:br/>
            </w:r>
            <w:proofErr w:type="spellStart"/>
            <w:r w:rsidRPr="00A240A3">
              <w:rPr>
                <w:rFonts w:ascii="Calibri" w:eastAsia="Times New Roman" w:hAnsi="Calibri" w:cs="Calibri"/>
                <w:sz w:val="20"/>
                <w:szCs w:val="20"/>
                <w:lang w:eastAsia="el-GR"/>
              </w:rPr>
              <w:t>Providers</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Obligations</w:t>
            </w:r>
            <w:proofErr w:type="spellEnd"/>
          </w:p>
        </w:tc>
        <w:tc>
          <w:tcPr>
            <w:tcW w:w="7157" w:type="dxa"/>
            <w:tcBorders>
              <w:top w:val="nil"/>
              <w:left w:val="nil"/>
              <w:bottom w:val="single" w:sz="4" w:space="0" w:color="auto"/>
              <w:right w:val="single" w:sz="4" w:space="0" w:color="auto"/>
            </w:tcBorders>
            <w:shd w:val="clear" w:color="auto" w:fill="auto"/>
            <w:vAlign w:val="center"/>
            <w:hideMark/>
          </w:tcPr>
          <w:p w14:paraId="4E95947A"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5.1 The Provider is responsible for verifying the identity of the entity with which it contracts.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entity</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may</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be</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identified</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using</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its</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TAXISnet</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credentials</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5B6DEB8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2F27B4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B6F503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864510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B8447B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DE31E64"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1B2DD5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8</w:t>
            </w:r>
          </w:p>
        </w:tc>
        <w:tc>
          <w:tcPr>
            <w:tcW w:w="1715" w:type="dxa"/>
            <w:tcBorders>
              <w:top w:val="nil"/>
              <w:left w:val="nil"/>
              <w:bottom w:val="single" w:sz="4" w:space="0" w:color="auto"/>
              <w:right w:val="single" w:sz="4" w:space="0" w:color="auto"/>
            </w:tcBorders>
            <w:shd w:val="clear" w:color="auto" w:fill="auto"/>
            <w:vAlign w:val="center"/>
            <w:hideMark/>
          </w:tcPr>
          <w:p w14:paraId="05E3585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DBF9D85"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5.2 The Provider or the Self-Provider bear the responsibility for ensuring all issued documents with respect to their issuance, authentication, integrity, readability, and the transmission of their data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through the services it provides.</w:t>
            </w:r>
          </w:p>
        </w:tc>
        <w:tc>
          <w:tcPr>
            <w:tcW w:w="925" w:type="dxa"/>
            <w:tcBorders>
              <w:top w:val="nil"/>
              <w:left w:val="nil"/>
              <w:bottom w:val="single" w:sz="4" w:space="0" w:color="auto"/>
              <w:right w:val="single" w:sz="4" w:space="0" w:color="auto"/>
            </w:tcBorders>
            <w:shd w:val="clear" w:color="000000" w:fill="DDEBF7"/>
            <w:vAlign w:val="center"/>
            <w:hideMark/>
          </w:tcPr>
          <w:p w14:paraId="3B0AFAD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F44F56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386285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CC72C0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FF039B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BA4619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D118DE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9</w:t>
            </w:r>
          </w:p>
        </w:tc>
        <w:tc>
          <w:tcPr>
            <w:tcW w:w="1715" w:type="dxa"/>
            <w:tcBorders>
              <w:top w:val="nil"/>
              <w:left w:val="nil"/>
              <w:bottom w:val="single" w:sz="4" w:space="0" w:color="auto"/>
              <w:right w:val="single" w:sz="4" w:space="0" w:color="auto"/>
            </w:tcBorders>
            <w:shd w:val="clear" w:color="auto" w:fill="auto"/>
            <w:vAlign w:val="center"/>
            <w:hideMark/>
          </w:tcPr>
          <w:p w14:paraId="057EFF1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40CD318"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5.3 The Provider or the Self-Provider does not transmit data of entities arising from accounting entries in cases where there is no obligation to issue a document.</w:t>
            </w:r>
          </w:p>
        </w:tc>
        <w:tc>
          <w:tcPr>
            <w:tcW w:w="925" w:type="dxa"/>
            <w:tcBorders>
              <w:top w:val="nil"/>
              <w:left w:val="nil"/>
              <w:bottom w:val="single" w:sz="4" w:space="0" w:color="auto"/>
              <w:right w:val="single" w:sz="4" w:space="0" w:color="auto"/>
            </w:tcBorders>
            <w:shd w:val="clear" w:color="000000" w:fill="DDEBF7"/>
            <w:vAlign w:val="center"/>
            <w:hideMark/>
          </w:tcPr>
          <w:p w14:paraId="2B0B335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7BD283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EBC5B6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B0BA30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87A6C9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BCFDD9A" w14:textId="77777777" w:rsidTr="00D678A7">
        <w:trPr>
          <w:trHeight w:val="178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C402F4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10</w:t>
            </w:r>
          </w:p>
        </w:tc>
        <w:tc>
          <w:tcPr>
            <w:tcW w:w="1715" w:type="dxa"/>
            <w:tcBorders>
              <w:top w:val="nil"/>
              <w:left w:val="nil"/>
              <w:bottom w:val="single" w:sz="4" w:space="0" w:color="auto"/>
              <w:right w:val="single" w:sz="4" w:space="0" w:color="auto"/>
            </w:tcBorders>
            <w:shd w:val="clear" w:color="auto" w:fill="auto"/>
            <w:vAlign w:val="center"/>
            <w:hideMark/>
          </w:tcPr>
          <w:p w14:paraId="556184D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931F6B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5.4 The Provider does not transmit data of entities that transact as public suppliers in the context of public contracts and correspond to tax revenue data issued during the execution of public contracts that fall within the scope of law 3978/2011 (A'137), in which the conclusion and execution of the contract have been classified as confidential or must be accompanied by special security measures pursuant to the applicable legislative, regulatory or administrative provisions. In particular, according to the provisions of paragraph 3 of article 148 of law 4601/2019 these public expenditures do not fall within the scope of electronic invoicing in the context of public contracts. The above case, includes also documents, e.g. credit and supplementary invoices, whose initially issued and related documents have been issued in the context of public contracts without the use of Provider services.</w:t>
            </w:r>
          </w:p>
        </w:tc>
        <w:tc>
          <w:tcPr>
            <w:tcW w:w="925" w:type="dxa"/>
            <w:tcBorders>
              <w:top w:val="nil"/>
              <w:left w:val="nil"/>
              <w:bottom w:val="single" w:sz="4" w:space="0" w:color="auto"/>
              <w:right w:val="single" w:sz="4" w:space="0" w:color="auto"/>
            </w:tcBorders>
            <w:shd w:val="clear" w:color="000000" w:fill="DDEBF7"/>
            <w:vAlign w:val="center"/>
            <w:hideMark/>
          </w:tcPr>
          <w:p w14:paraId="2CD360D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436EA1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9BED02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844BF5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06E200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D722D0E"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07518B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11_1</w:t>
            </w:r>
          </w:p>
        </w:tc>
        <w:tc>
          <w:tcPr>
            <w:tcW w:w="1715" w:type="dxa"/>
            <w:tcBorders>
              <w:top w:val="nil"/>
              <w:left w:val="nil"/>
              <w:bottom w:val="single" w:sz="4" w:space="0" w:color="auto"/>
              <w:right w:val="single" w:sz="4" w:space="0" w:color="auto"/>
            </w:tcBorders>
            <w:shd w:val="clear" w:color="auto" w:fill="auto"/>
            <w:vAlign w:val="center"/>
            <w:hideMark/>
          </w:tcPr>
          <w:p w14:paraId="7742EE0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DB353A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5.5 The Provider is obliged to provide immediate access to all data concerning each entity with which it contracts, both to the entity itself and to IAPR, within the retention period as defined in par.10. </w:t>
            </w:r>
          </w:p>
        </w:tc>
        <w:tc>
          <w:tcPr>
            <w:tcW w:w="925" w:type="dxa"/>
            <w:tcBorders>
              <w:top w:val="nil"/>
              <w:left w:val="nil"/>
              <w:bottom w:val="single" w:sz="4" w:space="0" w:color="auto"/>
              <w:right w:val="single" w:sz="4" w:space="0" w:color="auto"/>
            </w:tcBorders>
            <w:shd w:val="clear" w:color="000000" w:fill="DDEBF7"/>
            <w:vAlign w:val="center"/>
            <w:hideMark/>
          </w:tcPr>
          <w:p w14:paraId="439E327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70313E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C1ED3B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5ABFA2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1A9782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2BA13AA"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0374C3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11_2</w:t>
            </w:r>
          </w:p>
        </w:tc>
        <w:tc>
          <w:tcPr>
            <w:tcW w:w="1715" w:type="dxa"/>
            <w:tcBorders>
              <w:top w:val="nil"/>
              <w:left w:val="nil"/>
              <w:bottom w:val="single" w:sz="4" w:space="0" w:color="auto"/>
              <w:right w:val="single" w:sz="4" w:space="0" w:color="auto"/>
            </w:tcBorders>
            <w:shd w:val="clear" w:color="auto" w:fill="auto"/>
            <w:vAlign w:val="center"/>
            <w:hideMark/>
          </w:tcPr>
          <w:p w14:paraId="5474144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439CA8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To this end, the Provider must provide IAPR with a suitable interface for receiving document data of the entities with which it contracts. The interface allows the immediate extraction of all data of each document, based on the format and search criteria. In addition, the interface allows the extraction of a list of all documents issued by an entity in a specific calendar period within the time limit for their retention period for which they must be kept as defined in par. 10. A corresponding interface and access </w:t>
            </w:r>
            <w:proofErr w:type="gramStart"/>
            <w:r w:rsidRPr="00A240A3">
              <w:rPr>
                <w:rFonts w:ascii="Calibri" w:eastAsia="Times New Roman" w:hAnsi="Calibri" w:cs="Calibri"/>
                <w:sz w:val="20"/>
                <w:szCs w:val="20"/>
                <w:lang w:val="en-US" w:eastAsia="el-GR"/>
              </w:rPr>
              <w:t>is</w:t>
            </w:r>
            <w:proofErr w:type="gramEnd"/>
            <w:r w:rsidRPr="00A240A3">
              <w:rPr>
                <w:rFonts w:ascii="Calibri" w:eastAsia="Times New Roman" w:hAnsi="Calibri" w:cs="Calibri"/>
                <w:sz w:val="20"/>
                <w:szCs w:val="20"/>
                <w:lang w:val="en-US" w:eastAsia="el-GR"/>
              </w:rPr>
              <w:t xml:space="preserve"> also provided by the Self-Provider.</w:t>
            </w:r>
          </w:p>
        </w:tc>
        <w:tc>
          <w:tcPr>
            <w:tcW w:w="925" w:type="dxa"/>
            <w:tcBorders>
              <w:top w:val="nil"/>
              <w:left w:val="nil"/>
              <w:bottom w:val="single" w:sz="4" w:space="0" w:color="auto"/>
              <w:right w:val="single" w:sz="4" w:space="0" w:color="auto"/>
            </w:tcBorders>
            <w:shd w:val="clear" w:color="000000" w:fill="DDEBF7"/>
            <w:vAlign w:val="center"/>
            <w:hideMark/>
          </w:tcPr>
          <w:p w14:paraId="381B200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3A903A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5FE570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95E030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6A63E8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E567923"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791516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12</w:t>
            </w:r>
          </w:p>
        </w:tc>
        <w:tc>
          <w:tcPr>
            <w:tcW w:w="1715" w:type="dxa"/>
            <w:tcBorders>
              <w:top w:val="nil"/>
              <w:left w:val="nil"/>
              <w:bottom w:val="single" w:sz="4" w:space="0" w:color="auto"/>
              <w:right w:val="single" w:sz="4" w:space="0" w:color="auto"/>
            </w:tcBorders>
            <w:shd w:val="clear" w:color="auto" w:fill="auto"/>
            <w:vAlign w:val="center"/>
            <w:hideMark/>
          </w:tcPr>
          <w:p w14:paraId="3CEBA9F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7E342C4"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5.6 Upon request by the IAPR, the Provider shall deliver to the IAPR, within fifteen (15) working days, all data relating to the documents of the entities contracted with it, for a specific calendar period, within the period of obligation to retain them in accordance with par. 10.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Self-Provider</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is</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subject</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to</w:t>
            </w:r>
            <w:proofErr w:type="spellEnd"/>
            <w:r w:rsidRPr="00A240A3">
              <w:rPr>
                <w:rFonts w:ascii="Calibri" w:eastAsia="Times New Roman" w:hAnsi="Calibri" w:cs="Calibri"/>
                <w:sz w:val="20"/>
                <w:szCs w:val="20"/>
                <w:lang w:eastAsia="el-GR"/>
              </w:rPr>
              <w:t xml:space="preserve"> the </w:t>
            </w:r>
            <w:proofErr w:type="spellStart"/>
            <w:r w:rsidRPr="00A240A3">
              <w:rPr>
                <w:rFonts w:ascii="Calibri" w:eastAsia="Times New Roman" w:hAnsi="Calibri" w:cs="Calibri"/>
                <w:sz w:val="20"/>
                <w:szCs w:val="20"/>
                <w:lang w:eastAsia="el-GR"/>
              </w:rPr>
              <w:t>same</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obligation</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2485263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31874C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C45043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EBF402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A0C8BA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7D0F1C4" w14:textId="77777777" w:rsidTr="00D678A7">
        <w:trPr>
          <w:trHeight w:val="153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671E3A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13_1</w:t>
            </w:r>
          </w:p>
        </w:tc>
        <w:tc>
          <w:tcPr>
            <w:tcW w:w="1715" w:type="dxa"/>
            <w:tcBorders>
              <w:top w:val="nil"/>
              <w:left w:val="nil"/>
              <w:bottom w:val="single" w:sz="4" w:space="0" w:color="auto"/>
              <w:right w:val="single" w:sz="4" w:space="0" w:color="auto"/>
            </w:tcBorders>
            <w:shd w:val="clear" w:color="auto" w:fill="auto"/>
            <w:vAlign w:val="center"/>
            <w:hideMark/>
          </w:tcPr>
          <w:p w14:paraId="0A37FA8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093CE9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5.7 In the event of interruption of the provision of electronic data issuance services by the Provider to the contracted entity due to the termination or completion of the cooperation between the two contracting parties or due to an acquisition, merger, transformation or any other change in the legal status of the Provider, the Provider is obliged to deliver to the entity all the documents that is obliged to keep in accordance with par. 10, in a time-stamped and digitally signed electronic mean. The delivered documents shall also include a) a digital summary that has been created including all the data and, signed using a valid digital certificate of the Provider and b) the public key of the Provider's digital certificate.</w:t>
            </w:r>
          </w:p>
        </w:tc>
        <w:tc>
          <w:tcPr>
            <w:tcW w:w="925" w:type="dxa"/>
            <w:tcBorders>
              <w:top w:val="nil"/>
              <w:left w:val="nil"/>
              <w:bottom w:val="single" w:sz="4" w:space="0" w:color="auto"/>
              <w:right w:val="single" w:sz="4" w:space="0" w:color="auto"/>
            </w:tcBorders>
            <w:shd w:val="clear" w:color="000000" w:fill="DDEBF7"/>
            <w:vAlign w:val="center"/>
            <w:hideMark/>
          </w:tcPr>
          <w:p w14:paraId="61682DE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4B5A43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776B00F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F10FC2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9A5C70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35A81E7" w14:textId="77777777" w:rsidTr="00D678A7">
        <w:trPr>
          <w:trHeight w:val="153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5D7DC1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13_2</w:t>
            </w:r>
          </w:p>
        </w:tc>
        <w:tc>
          <w:tcPr>
            <w:tcW w:w="1715" w:type="dxa"/>
            <w:tcBorders>
              <w:top w:val="nil"/>
              <w:left w:val="nil"/>
              <w:bottom w:val="single" w:sz="4" w:space="0" w:color="auto"/>
              <w:right w:val="single" w:sz="4" w:space="0" w:color="auto"/>
            </w:tcBorders>
            <w:shd w:val="clear" w:color="auto" w:fill="auto"/>
            <w:vAlign w:val="center"/>
            <w:hideMark/>
          </w:tcPr>
          <w:p w14:paraId="45227FA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787C65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In cases of acquisition, merger, transformation or any other change in the legal status of the Provider, and provided that the licensed software continues to be available to the Greek market and provided that its functional and technical specifications have not changed, its re-licensing is not required. Furthermore, provided that the Provider operates as a universal or special successor to another Provider being acquired, merged or transformed, the re-declaration of the contracting entities is not required and the relevant actions are carried out in-house by the IAPR. </w:t>
            </w:r>
          </w:p>
        </w:tc>
        <w:tc>
          <w:tcPr>
            <w:tcW w:w="925" w:type="dxa"/>
            <w:tcBorders>
              <w:top w:val="nil"/>
              <w:left w:val="nil"/>
              <w:bottom w:val="single" w:sz="4" w:space="0" w:color="auto"/>
              <w:right w:val="single" w:sz="4" w:space="0" w:color="auto"/>
            </w:tcBorders>
            <w:shd w:val="clear" w:color="000000" w:fill="DDEBF7"/>
            <w:vAlign w:val="center"/>
            <w:hideMark/>
          </w:tcPr>
          <w:p w14:paraId="0ED1CD6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1C2C12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77937A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059FCB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74168B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E6299AF"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23663D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13_3</w:t>
            </w:r>
          </w:p>
        </w:tc>
        <w:tc>
          <w:tcPr>
            <w:tcW w:w="1715" w:type="dxa"/>
            <w:tcBorders>
              <w:top w:val="nil"/>
              <w:left w:val="nil"/>
              <w:bottom w:val="single" w:sz="4" w:space="0" w:color="auto"/>
              <w:right w:val="single" w:sz="4" w:space="0" w:color="auto"/>
            </w:tcBorders>
            <w:shd w:val="clear" w:color="auto" w:fill="auto"/>
            <w:vAlign w:val="center"/>
            <w:hideMark/>
          </w:tcPr>
          <w:p w14:paraId="0BA02E2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B177738"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In the event that the licensed software ceases to be available on the Greek market or in any other case of imminent termination of the cooperation between the contracting parties on the initiative of the Provider, the Provider is obliged to inform the contracting entity in writing, at least two (2) months prior to the cessation of service provision, in order for the contracted entity to replace the software in question with other licensed software or another legal method of issuing its documents.</w:t>
            </w:r>
          </w:p>
        </w:tc>
        <w:tc>
          <w:tcPr>
            <w:tcW w:w="925" w:type="dxa"/>
            <w:tcBorders>
              <w:top w:val="nil"/>
              <w:left w:val="nil"/>
              <w:bottom w:val="single" w:sz="4" w:space="0" w:color="auto"/>
              <w:right w:val="single" w:sz="4" w:space="0" w:color="auto"/>
            </w:tcBorders>
            <w:shd w:val="clear" w:color="000000" w:fill="DDEBF7"/>
            <w:vAlign w:val="center"/>
            <w:hideMark/>
          </w:tcPr>
          <w:p w14:paraId="6E456C2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852A83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160D6CC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937" w:type="dxa"/>
            <w:tcBorders>
              <w:top w:val="nil"/>
              <w:left w:val="nil"/>
              <w:bottom w:val="single" w:sz="4" w:space="0" w:color="auto"/>
              <w:right w:val="single" w:sz="4" w:space="0" w:color="auto"/>
            </w:tcBorders>
            <w:shd w:val="clear" w:color="auto" w:fill="auto"/>
            <w:noWrap/>
            <w:vAlign w:val="center"/>
            <w:hideMark/>
          </w:tcPr>
          <w:p w14:paraId="1C13CE5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985" w:type="dxa"/>
            <w:tcBorders>
              <w:top w:val="nil"/>
              <w:left w:val="nil"/>
              <w:bottom w:val="single" w:sz="4" w:space="0" w:color="auto"/>
              <w:right w:val="single" w:sz="4" w:space="0" w:color="auto"/>
            </w:tcBorders>
            <w:shd w:val="clear" w:color="auto" w:fill="auto"/>
            <w:vAlign w:val="center"/>
            <w:hideMark/>
          </w:tcPr>
          <w:p w14:paraId="3EDEA4B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381C424C"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7AEC32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14</w:t>
            </w:r>
          </w:p>
        </w:tc>
        <w:tc>
          <w:tcPr>
            <w:tcW w:w="1715" w:type="dxa"/>
            <w:tcBorders>
              <w:top w:val="nil"/>
              <w:left w:val="nil"/>
              <w:bottom w:val="single" w:sz="4" w:space="0" w:color="auto"/>
              <w:right w:val="single" w:sz="4" w:space="0" w:color="auto"/>
            </w:tcBorders>
            <w:shd w:val="clear" w:color="auto" w:fill="auto"/>
            <w:vAlign w:val="center"/>
            <w:hideMark/>
          </w:tcPr>
          <w:p w14:paraId="7681EE0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194B51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5.8 Alternatively, to the first sentence of paragraph 7, if the obligated entity agrees, the Provider with whom the cooperation was terminated shall deliver all of its data, that it is obliged to retain, to the new Provider. Correspondingly, the Self-Provider may deliver all of the data to the new Provider, if the entity’s self-sufficient support is terminated.</w:t>
            </w:r>
          </w:p>
        </w:tc>
        <w:tc>
          <w:tcPr>
            <w:tcW w:w="925" w:type="dxa"/>
            <w:tcBorders>
              <w:top w:val="nil"/>
              <w:left w:val="nil"/>
              <w:bottom w:val="single" w:sz="4" w:space="0" w:color="auto"/>
              <w:right w:val="single" w:sz="4" w:space="0" w:color="auto"/>
            </w:tcBorders>
            <w:shd w:val="clear" w:color="000000" w:fill="DDEBF7"/>
            <w:vAlign w:val="center"/>
            <w:hideMark/>
          </w:tcPr>
          <w:p w14:paraId="70F32E3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C4089C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2F2B87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49B7BE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5BED427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2A5E574"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F2840B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15</w:t>
            </w:r>
          </w:p>
        </w:tc>
        <w:tc>
          <w:tcPr>
            <w:tcW w:w="1715" w:type="dxa"/>
            <w:tcBorders>
              <w:top w:val="nil"/>
              <w:left w:val="nil"/>
              <w:bottom w:val="single" w:sz="4" w:space="0" w:color="auto"/>
              <w:right w:val="single" w:sz="4" w:space="0" w:color="auto"/>
            </w:tcBorders>
            <w:shd w:val="clear" w:color="auto" w:fill="auto"/>
            <w:vAlign w:val="center"/>
            <w:hideMark/>
          </w:tcPr>
          <w:p w14:paraId="3648786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540479D"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5.9 The Provider or the Self-Provider shall transmit data of the issued accounting documents to the IAPR, in accordance with the provisions of article 16 of the Tax Procedure Code.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data</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transmitted</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are</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described</w:t>
            </w:r>
            <w:proofErr w:type="spellEnd"/>
            <w:r w:rsidRPr="00A240A3">
              <w:rPr>
                <w:rFonts w:ascii="Calibri" w:eastAsia="Times New Roman" w:hAnsi="Calibri" w:cs="Calibri"/>
                <w:sz w:val="20"/>
                <w:szCs w:val="20"/>
                <w:lang w:eastAsia="el-GR"/>
              </w:rPr>
              <w:t xml:space="preserve"> in </w:t>
            </w:r>
            <w:proofErr w:type="spellStart"/>
            <w:r w:rsidRPr="00A240A3">
              <w:rPr>
                <w:rFonts w:ascii="Calibri" w:eastAsia="Times New Roman" w:hAnsi="Calibri" w:cs="Calibri"/>
                <w:sz w:val="20"/>
                <w:szCs w:val="20"/>
                <w:lang w:eastAsia="el-GR"/>
              </w:rPr>
              <w:t>Annex</w:t>
            </w:r>
            <w:proofErr w:type="spellEnd"/>
            <w:r w:rsidRPr="00A240A3">
              <w:rPr>
                <w:rFonts w:ascii="Calibri" w:eastAsia="Times New Roman" w:hAnsi="Calibri" w:cs="Calibri"/>
                <w:sz w:val="20"/>
                <w:szCs w:val="20"/>
                <w:lang w:eastAsia="el-GR"/>
              </w:rPr>
              <w:t xml:space="preserve"> B </w:t>
            </w:r>
            <w:proofErr w:type="spellStart"/>
            <w:r w:rsidRPr="00A240A3">
              <w:rPr>
                <w:rFonts w:ascii="Calibri" w:eastAsia="Times New Roman" w:hAnsi="Calibri" w:cs="Calibri"/>
                <w:sz w:val="20"/>
                <w:szCs w:val="20"/>
                <w:lang w:eastAsia="el-GR"/>
              </w:rPr>
              <w:t>hereto</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5E0801F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4412A5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30226D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499F5C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176B90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CA6AE9D"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160778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16</w:t>
            </w:r>
          </w:p>
        </w:tc>
        <w:tc>
          <w:tcPr>
            <w:tcW w:w="1715" w:type="dxa"/>
            <w:tcBorders>
              <w:top w:val="nil"/>
              <w:left w:val="nil"/>
              <w:bottom w:val="single" w:sz="4" w:space="0" w:color="auto"/>
              <w:right w:val="single" w:sz="4" w:space="0" w:color="auto"/>
            </w:tcBorders>
            <w:shd w:val="clear" w:color="auto" w:fill="auto"/>
            <w:vAlign w:val="center"/>
            <w:hideMark/>
          </w:tcPr>
          <w:p w14:paraId="3CD588A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6E81AA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5.10 The Provider or the Self-Provider is obliged to preserve the invoice data of the entity with which it contracts, as well as the corresponding authentication and documentation data, for as long as it is provided for to be preserved by the said entity, in accordance with article 7 of law 4308/2014 and article 13 of law 5104/2024. This obligation does not exempt the obligated entity from its independent obligation to preserve its accounting records. </w:t>
            </w:r>
          </w:p>
        </w:tc>
        <w:tc>
          <w:tcPr>
            <w:tcW w:w="925" w:type="dxa"/>
            <w:tcBorders>
              <w:top w:val="nil"/>
              <w:left w:val="nil"/>
              <w:bottom w:val="single" w:sz="4" w:space="0" w:color="auto"/>
              <w:right w:val="single" w:sz="4" w:space="0" w:color="auto"/>
            </w:tcBorders>
            <w:shd w:val="clear" w:color="000000" w:fill="DDEBF7"/>
            <w:vAlign w:val="center"/>
            <w:hideMark/>
          </w:tcPr>
          <w:p w14:paraId="7153440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2664FD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A127A1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1E3D0E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5BD1048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5665315"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185B08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17</w:t>
            </w:r>
          </w:p>
        </w:tc>
        <w:tc>
          <w:tcPr>
            <w:tcW w:w="1715" w:type="dxa"/>
            <w:tcBorders>
              <w:top w:val="nil"/>
              <w:left w:val="nil"/>
              <w:bottom w:val="single" w:sz="4" w:space="0" w:color="auto"/>
              <w:right w:val="single" w:sz="4" w:space="0" w:color="auto"/>
            </w:tcBorders>
            <w:shd w:val="clear" w:color="auto" w:fill="auto"/>
            <w:vAlign w:val="center"/>
            <w:hideMark/>
          </w:tcPr>
          <w:p w14:paraId="20D0F4E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B4FB93B"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5.11 The Provider or the Self-Provider ensures that the time of service provided to any "“Y.PA.H.E.S.” / E.D.I.S.P." user entity amounts to at least 99% of the time provided by the telecommunications network per calendar quarter.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Self-Provider</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also</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has</w:t>
            </w:r>
            <w:proofErr w:type="spellEnd"/>
            <w:r w:rsidRPr="00A240A3">
              <w:rPr>
                <w:rFonts w:ascii="Calibri" w:eastAsia="Times New Roman" w:hAnsi="Calibri" w:cs="Calibri"/>
                <w:sz w:val="20"/>
                <w:szCs w:val="20"/>
                <w:lang w:eastAsia="el-GR"/>
              </w:rPr>
              <w:t xml:space="preserve"> a </w:t>
            </w:r>
            <w:proofErr w:type="spellStart"/>
            <w:r w:rsidRPr="00A240A3">
              <w:rPr>
                <w:rFonts w:ascii="Calibri" w:eastAsia="Times New Roman" w:hAnsi="Calibri" w:cs="Calibri"/>
                <w:sz w:val="20"/>
                <w:szCs w:val="20"/>
                <w:lang w:eastAsia="el-GR"/>
              </w:rPr>
              <w:t>similar</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obligation</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0C81BD3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844A3F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C535BC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4F3BBD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57A71A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5EE4D7C"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18E107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18</w:t>
            </w:r>
          </w:p>
        </w:tc>
        <w:tc>
          <w:tcPr>
            <w:tcW w:w="1715" w:type="dxa"/>
            <w:tcBorders>
              <w:top w:val="nil"/>
              <w:left w:val="nil"/>
              <w:bottom w:val="single" w:sz="4" w:space="0" w:color="auto"/>
              <w:right w:val="single" w:sz="4" w:space="0" w:color="auto"/>
            </w:tcBorders>
            <w:shd w:val="clear" w:color="auto" w:fill="auto"/>
            <w:vAlign w:val="center"/>
            <w:hideMark/>
          </w:tcPr>
          <w:p w14:paraId="2219814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781BD3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5.12 The Provider or the Self-Provider shall provide an online tool for verifying/confirming the authenticity of documents issued by entities using the licensed software.</w:t>
            </w:r>
          </w:p>
        </w:tc>
        <w:tc>
          <w:tcPr>
            <w:tcW w:w="925" w:type="dxa"/>
            <w:tcBorders>
              <w:top w:val="nil"/>
              <w:left w:val="nil"/>
              <w:bottom w:val="single" w:sz="4" w:space="0" w:color="auto"/>
              <w:right w:val="single" w:sz="4" w:space="0" w:color="auto"/>
            </w:tcBorders>
            <w:shd w:val="clear" w:color="000000" w:fill="DDEBF7"/>
            <w:vAlign w:val="center"/>
            <w:hideMark/>
          </w:tcPr>
          <w:p w14:paraId="5745A05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524A82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A54DB9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4799C8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877C5D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A4F7023"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21F495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19</w:t>
            </w:r>
          </w:p>
        </w:tc>
        <w:tc>
          <w:tcPr>
            <w:tcW w:w="1715" w:type="dxa"/>
            <w:tcBorders>
              <w:top w:val="nil"/>
              <w:left w:val="nil"/>
              <w:bottom w:val="single" w:sz="4" w:space="0" w:color="auto"/>
              <w:right w:val="single" w:sz="4" w:space="0" w:color="auto"/>
            </w:tcBorders>
            <w:shd w:val="clear" w:color="auto" w:fill="auto"/>
            <w:vAlign w:val="center"/>
            <w:hideMark/>
          </w:tcPr>
          <w:p w14:paraId="454C75E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153F1B7"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5.13 In the event of a permanent cessation of operation or revocation of the "“Y.PA.H.E.S.” / E.D.I.S.P." suitability license, the Provider or the Self-Provider shall deliver to the IAPR all the data relating to the documents of the contracted entities for which it is obliged to keep records in accordance with par. 10. </w:t>
            </w:r>
            <w:proofErr w:type="spellStart"/>
            <w:r w:rsidRPr="00A240A3">
              <w:rPr>
                <w:rFonts w:ascii="Calibri" w:eastAsia="Times New Roman" w:hAnsi="Calibri" w:cs="Calibri"/>
                <w:sz w:val="20"/>
                <w:szCs w:val="20"/>
                <w:lang w:eastAsia="el-GR"/>
              </w:rPr>
              <w:t>Alternatively</w:t>
            </w:r>
            <w:proofErr w:type="spellEnd"/>
            <w:r w:rsidRPr="00A240A3">
              <w:rPr>
                <w:rFonts w:ascii="Calibri" w:eastAsia="Times New Roman" w:hAnsi="Calibri" w:cs="Calibri"/>
                <w:sz w:val="20"/>
                <w:szCs w:val="20"/>
                <w:lang w:eastAsia="el-GR"/>
              </w:rPr>
              <w:t xml:space="preserve">, the </w:t>
            </w:r>
            <w:proofErr w:type="spellStart"/>
            <w:r w:rsidRPr="00A240A3">
              <w:rPr>
                <w:rFonts w:ascii="Calibri" w:eastAsia="Times New Roman" w:hAnsi="Calibri" w:cs="Calibri"/>
                <w:sz w:val="20"/>
                <w:szCs w:val="20"/>
                <w:lang w:eastAsia="el-GR"/>
              </w:rPr>
              <w:t>procedures</w:t>
            </w:r>
            <w:proofErr w:type="spellEnd"/>
            <w:r w:rsidRPr="00A240A3">
              <w:rPr>
                <w:rFonts w:ascii="Calibri" w:eastAsia="Times New Roman" w:hAnsi="Calibri" w:cs="Calibri"/>
                <w:sz w:val="20"/>
                <w:szCs w:val="20"/>
                <w:lang w:eastAsia="el-GR"/>
              </w:rPr>
              <w:t xml:space="preserve"> of </w:t>
            </w:r>
            <w:proofErr w:type="spellStart"/>
            <w:r w:rsidRPr="00A240A3">
              <w:rPr>
                <w:rFonts w:ascii="Calibri" w:eastAsia="Times New Roman" w:hAnsi="Calibri" w:cs="Calibri"/>
                <w:sz w:val="20"/>
                <w:szCs w:val="20"/>
                <w:lang w:eastAsia="el-GR"/>
              </w:rPr>
              <w:t>par</w:t>
            </w:r>
            <w:proofErr w:type="spellEnd"/>
            <w:r w:rsidRPr="00A240A3">
              <w:rPr>
                <w:rFonts w:ascii="Calibri" w:eastAsia="Times New Roman" w:hAnsi="Calibri" w:cs="Calibri"/>
                <w:sz w:val="20"/>
                <w:szCs w:val="20"/>
                <w:lang w:eastAsia="el-GR"/>
              </w:rPr>
              <w:t xml:space="preserve">. 8 </w:t>
            </w:r>
            <w:proofErr w:type="spellStart"/>
            <w:r w:rsidRPr="00A240A3">
              <w:rPr>
                <w:rFonts w:ascii="Calibri" w:eastAsia="Times New Roman" w:hAnsi="Calibri" w:cs="Calibri"/>
                <w:sz w:val="20"/>
                <w:szCs w:val="20"/>
                <w:lang w:eastAsia="el-GR"/>
              </w:rPr>
              <w:t>shall</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be</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carried</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out</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2C6CC84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44D357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109345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9295E6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317276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20E5AC1"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48DC0C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20</w:t>
            </w:r>
          </w:p>
        </w:tc>
        <w:tc>
          <w:tcPr>
            <w:tcW w:w="1715" w:type="dxa"/>
            <w:tcBorders>
              <w:top w:val="nil"/>
              <w:left w:val="nil"/>
              <w:bottom w:val="single" w:sz="4" w:space="0" w:color="auto"/>
              <w:right w:val="single" w:sz="4" w:space="0" w:color="auto"/>
            </w:tcBorders>
            <w:shd w:val="clear" w:color="auto" w:fill="auto"/>
            <w:vAlign w:val="center"/>
            <w:hideMark/>
          </w:tcPr>
          <w:p w14:paraId="2D28CEB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18ED5B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5.14 The Provider maintains the confidentiality of the data and information obtained, within the framework of its contractual relationship with the entities it contracts with and shall not disclose such data or information to third parties nor use them for personal benefit or for the benefit of third parties. The Provider is obliged to record in the contract it signs with an obligated entity that carries out retail transactions, the details of another contract (number, date) that has been signed in accordance with paragraph 2 of article 7 between an internet provider (ISP Provider) and the obligated entity so that an alternative way of connecting to the internet is provided.</w:t>
            </w:r>
          </w:p>
        </w:tc>
        <w:tc>
          <w:tcPr>
            <w:tcW w:w="925" w:type="dxa"/>
            <w:tcBorders>
              <w:top w:val="nil"/>
              <w:left w:val="nil"/>
              <w:bottom w:val="single" w:sz="4" w:space="0" w:color="auto"/>
              <w:right w:val="single" w:sz="4" w:space="0" w:color="auto"/>
            </w:tcBorders>
            <w:shd w:val="clear" w:color="000000" w:fill="DDEBF7"/>
            <w:vAlign w:val="center"/>
            <w:hideMark/>
          </w:tcPr>
          <w:p w14:paraId="2FAA814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B2EAE4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08DFBA3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9F6EE0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117330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CF82700"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BBC809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21</w:t>
            </w:r>
          </w:p>
        </w:tc>
        <w:tc>
          <w:tcPr>
            <w:tcW w:w="1715" w:type="dxa"/>
            <w:tcBorders>
              <w:top w:val="nil"/>
              <w:left w:val="nil"/>
              <w:bottom w:val="single" w:sz="4" w:space="0" w:color="auto"/>
              <w:right w:val="single" w:sz="4" w:space="0" w:color="auto"/>
            </w:tcBorders>
            <w:shd w:val="clear" w:color="auto" w:fill="auto"/>
            <w:vAlign w:val="center"/>
            <w:hideMark/>
          </w:tcPr>
          <w:p w14:paraId="599D2E7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E0B70E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5.15 Before providing its services to a contracting entity and drawing up the relevant contract, the Provider must examine whether there is a reliable internet connection in the area where the obligated entity's establishment is located.</w:t>
            </w:r>
          </w:p>
        </w:tc>
        <w:tc>
          <w:tcPr>
            <w:tcW w:w="925" w:type="dxa"/>
            <w:tcBorders>
              <w:top w:val="nil"/>
              <w:left w:val="nil"/>
              <w:bottom w:val="single" w:sz="4" w:space="0" w:color="auto"/>
              <w:right w:val="single" w:sz="4" w:space="0" w:color="auto"/>
            </w:tcBorders>
            <w:shd w:val="clear" w:color="000000" w:fill="DDEBF7"/>
            <w:vAlign w:val="center"/>
            <w:hideMark/>
          </w:tcPr>
          <w:p w14:paraId="17F63AB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C36286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24B9200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D0DBAB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2C14EC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1DE892D"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6FCE46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22</w:t>
            </w:r>
          </w:p>
        </w:tc>
        <w:tc>
          <w:tcPr>
            <w:tcW w:w="1715" w:type="dxa"/>
            <w:tcBorders>
              <w:top w:val="nil"/>
              <w:left w:val="nil"/>
              <w:bottom w:val="single" w:sz="4" w:space="0" w:color="auto"/>
              <w:right w:val="single" w:sz="4" w:space="0" w:color="auto"/>
            </w:tcBorders>
            <w:shd w:val="clear" w:color="auto" w:fill="auto"/>
            <w:vAlign w:val="center"/>
            <w:hideMark/>
          </w:tcPr>
          <w:p w14:paraId="4ED2D5C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95FFA0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5.16 The Provider has the obligation to continuously and digitally inform the entity about the documents it has transmitted on its behalf, either in real time or in the event of connection loss.</w:t>
            </w:r>
          </w:p>
        </w:tc>
        <w:tc>
          <w:tcPr>
            <w:tcW w:w="925" w:type="dxa"/>
            <w:tcBorders>
              <w:top w:val="nil"/>
              <w:left w:val="nil"/>
              <w:bottom w:val="single" w:sz="4" w:space="0" w:color="auto"/>
              <w:right w:val="single" w:sz="4" w:space="0" w:color="auto"/>
            </w:tcBorders>
            <w:shd w:val="clear" w:color="000000" w:fill="DDEBF7"/>
            <w:vAlign w:val="center"/>
            <w:hideMark/>
          </w:tcPr>
          <w:p w14:paraId="4207A40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A2B7C7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3152298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8112E5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62C705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C4B3FD2"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1417FC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23</w:t>
            </w:r>
          </w:p>
        </w:tc>
        <w:tc>
          <w:tcPr>
            <w:tcW w:w="1715" w:type="dxa"/>
            <w:tcBorders>
              <w:top w:val="nil"/>
              <w:left w:val="nil"/>
              <w:bottom w:val="single" w:sz="4" w:space="0" w:color="auto"/>
              <w:right w:val="single" w:sz="4" w:space="0" w:color="auto"/>
            </w:tcBorders>
            <w:shd w:val="clear" w:color="auto" w:fill="auto"/>
            <w:vAlign w:val="center"/>
            <w:hideMark/>
          </w:tcPr>
          <w:p w14:paraId="48D0D06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DD920E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5.17 The Provider or the Self-Provider is obliged to display the documents it transmits separately, both in the event of loss of interconnection between the obligated entity - Provider or the physical points of issue and the Self-Provider (Transmission Failure_1) as well as in the event of loss of interconnection between the Provider or Self-Provider - IAPR (Transmission Failure_2).</w:t>
            </w:r>
          </w:p>
        </w:tc>
        <w:tc>
          <w:tcPr>
            <w:tcW w:w="925" w:type="dxa"/>
            <w:tcBorders>
              <w:top w:val="nil"/>
              <w:left w:val="nil"/>
              <w:bottom w:val="single" w:sz="4" w:space="0" w:color="auto"/>
              <w:right w:val="single" w:sz="4" w:space="0" w:color="auto"/>
            </w:tcBorders>
            <w:shd w:val="clear" w:color="000000" w:fill="DDEBF7"/>
            <w:vAlign w:val="center"/>
            <w:hideMark/>
          </w:tcPr>
          <w:p w14:paraId="5DD0C09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C787BC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53159D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1511B3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F8E2C6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BF64BAD"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DDC163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24</w:t>
            </w:r>
          </w:p>
        </w:tc>
        <w:tc>
          <w:tcPr>
            <w:tcW w:w="1715" w:type="dxa"/>
            <w:tcBorders>
              <w:top w:val="nil"/>
              <w:left w:val="nil"/>
              <w:bottom w:val="single" w:sz="4" w:space="0" w:color="auto"/>
              <w:right w:val="single" w:sz="4" w:space="0" w:color="auto"/>
            </w:tcBorders>
            <w:shd w:val="clear" w:color="auto" w:fill="auto"/>
            <w:vAlign w:val="center"/>
            <w:hideMark/>
          </w:tcPr>
          <w:p w14:paraId="4F4BDA1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BF9CBF1"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5.18 The Provider is obliged to post monthly on its website aggregated statistical data regarding cases of loss of interconnection with the obligated entities.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Self</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Provider</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has</w:t>
            </w:r>
            <w:proofErr w:type="spellEnd"/>
            <w:r w:rsidRPr="00A240A3">
              <w:rPr>
                <w:rFonts w:ascii="Calibri" w:eastAsia="Times New Roman" w:hAnsi="Calibri" w:cs="Calibri"/>
                <w:sz w:val="20"/>
                <w:szCs w:val="20"/>
                <w:lang w:eastAsia="el-GR"/>
              </w:rPr>
              <w:t xml:space="preserve"> a </w:t>
            </w:r>
            <w:proofErr w:type="spellStart"/>
            <w:r w:rsidRPr="00A240A3">
              <w:rPr>
                <w:rFonts w:ascii="Calibri" w:eastAsia="Times New Roman" w:hAnsi="Calibri" w:cs="Calibri"/>
                <w:sz w:val="20"/>
                <w:szCs w:val="20"/>
                <w:lang w:eastAsia="el-GR"/>
              </w:rPr>
              <w:t>similar</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obligation</w:t>
            </w:r>
            <w:proofErr w:type="spellEnd"/>
            <w:r w:rsidRPr="00A240A3">
              <w:rPr>
                <w:rFonts w:ascii="Calibri" w:eastAsia="Times New Roman" w:hAnsi="Calibri" w:cs="Calibri"/>
                <w:sz w:val="20"/>
                <w:szCs w:val="20"/>
                <w:lang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2911A98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5A0823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9B1703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72A08A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29BBED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37CEC726" w14:textId="77777777" w:rsidTr="005607B2">
        <w:trPr>
          <w:trHeight w:val="727"/>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2C1FD7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25_1</w:t>
            </w:r>
          </w:p>
        </w:tc>
        <w:tc>
          <w:tcPr>
            <w:tcW w:w="1715" w:type="dxa"/>
            <w:tcBorders>
              <w:top w:val="nil"/>
              <w:left w:val="nil"/>
              <w:bottom w:val="single" w:sz="4" w:space="0" w:color="auto"/>
              <w:right w:val="single" w:sz="4" w:space="0" w:color="auto"/>
            </w:tcBorders>
            <w:shd w:val="clear" w:color="auto" w:fill="auto"/>
            <w:vAlign w:val="center"/>
            <w:hideMark/>
          </w:tcPr>
          <w:p w14:paraId="7724D0D5"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6 </w:t>
            </w:r>
            <w:r w:rsidRPr="00A240A3">
              <w:rPr>
                <w:rFonts w:ascii="Calibri" w:eastAsia="Times New Roman" w:hAnsi="Calibri" w:cs="Calibri"/>
                <w:sz w:val="20"/>
                <w:szCs w:val="20"/>
                <w:lang w:val="en-US" w:eastAsia="el-GR"/>
              </w:rPr>
              <w:br/>
              <w:t>Content and time of submission of the declarations for data issuance through a Provider or Self-Provider</w:t>
            </w:r>
          </w:p>
        </w:tc>
        <w:tc>
          <w:tcPr>
            <w:tcW w:w="7157" w:type="dxa"/>
            <w:tcBorders>
              <w:top w:val="nil"/>
              <w:left w:val="nil"/>
              <w:bottom w:val="single" w:sz="4" w:space="0" w:color="auto"/>
              <w:right w:val="single" w:sz="4" w:space="0" w:color="auto"/>
            </w:tcBorders>
            <w:shd w:val="clear" w:color="auto" w:fill="auto"/>
            <w:vAlign w:val="center"/>
            <w:hideMark/>
          </w:tcPr>
          <w:p w14:paraId="5A6C741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6.1   The Provider is obliged to submit a "Declaration of Commencement of Electronic Issuance of Data" to declare the commencement of the provision of services to the respective contracting entity, which is obliged to issue the revenue documents, through the </w:t>
            </w:r>
            <w:proofErr w:type="spellStart"/>
            <w:r w:rsidRPr="00A240A3">
              <w:rPr>
                <w:rFonts w:ascii="Calibri" w:eastAsia="Times New Roman" w:hAnsi="Calibri" w:cs="Calibri"/>
                <w:sz w:val="20"/>
                <w:szCs w:val="20"/>
                <w:lang w:val="en-US" w:eastAsia="el-GR"/>
              </w:rPr>
              <w:t>myAADE</w:t>
            </w:r>
            <w:proofErr w:type="spellEnd"/>
            <w:r w:rsidRPr="00A240A3">
              <w:rPr>
                <w:rFonts w:ascii="Calibri" w:eastAsia="Times New Roman" w:hAnsi="Calibri" w:cs="Calibri"/>
                <w:sz w:val="20"/>
                <w:szCs w:val="20"/>
                <w:lang w:val="en-US" w:eastAsia="el-GR"/>
              </w:rPr>
              <w:t xml:space="preserve"> digital portal, no later than ten (10) days from the date of entry into force of the contract with it. The Issuing Entity shall be notified by means of a relevant posting of the declaration on its account in the Tax Administration's information system (e-notifications application on the </w:t>
            </w:r>
            <w:proofErr w:type="spellStart"/>
            <w:r w:rsidRPr="00A240A3">
              <w:rPr>
                <w:rFonts w:ascii="Calibri" w:eastAsia="Times New Roman" w:hAnsi="Calibri" w:cs="Calibri"/>
                <w:sz w:val="20"/>
                <w:szCs w:val="20"/>
                <w:lang w:val="en-US" w:eastAsia="el-GR"/>
              </w:rPr>
              <w:t>myAADE</w:t>
            </w:r>
            <w:proofErr w:type="spellEnd"/>
            <w:r w:rsidRPr="00A240A3">
              <w:rPr>
                <w:rFonts w:ascii="Calibri" w:eastAsia="Times New Roman" w:hAnsi="Calibri" w:cs="Calibri"/>
                <w:sz w:val="20"/>
                <w:szCs w:val="20"/>
                <w:lang w:val="en-US" w:eastAsia="el-GR"/>
              </w:rPr>
              <w:t xml:space="preserve"> digital portal) and an electronic notification of the relevant posting by email to the email address registered on the </w:t>
            </w:r>
            <w:proofErr w:type="spellStart"/>
            <w:r w:rsidRPr="00A240A3">
              <w:rPr>
                <w:rFonts w:ascii="Calibri" w:eastAsia="Times New Roman" w:hAnsi="Calibri" w:cs="Calibri"/>
                <w:sz w:val="20"/>
                <w:szCs w:val="20"/>
                <w:lang w:val="en-US" w:eastAsia="el-GR"/>
              </w:rPr>
              <w:t>myAADE</w:t>
            </w:r>
            <w:proofErr w:type="spellEnd"/>
            <w:r w:rsidRPr="00A240A3">
              <w:rPr>
                <w:rFonts w:ascii="Calibri" w:eastAsia="Times New Roman" w:hAnsi="Calibri" w:cs="Calibri"/>
                <w:sz w:val="20"/>
                <w:szCs w:val="20"/>
                <w:lang w:val="en-US" w:eastAsia="el-GR"/>
              </w:rPr>
              <w:t xml:space="preserve"> digital portal and may accept or reject the Provider's </w:t>
            </w:r>
            <w:r w:rsidRPr="00A240A3">
              <w:rPr>
                <w:rFonts w:ascii="Calibri" w:eastAsia="Times New Roman" w:hAnsi="Calibri" w:cs="Calibri"/>
                <w:sz w:val="20"/>
                <w:szCs w:val="20"/>
                <w:lang w:val="en-US" w:eastAsia="el-GR"/>
              </w:rPr>
              <w:lastRenderedPageBreak/>
              <w:t xml:space="preserve">declaration within ten (10) days from the date of its submission. If the deadline passes without action, its acceptance is presumed. </w:t>
            </w:r>
          </w:p>
        </w:tc>
        <w:tc>
          <w:tcPr>
            <w:tcW w:w="925" w:type="dxa"/>
            <w:tcBorders>
              <w:top w:val="nil"/>
              <w:left w:val="nil"/>
              <w:bottom w:val="single" w:sz="4" w:space="0" w:color="auto"/>
              <w:right w:val="single" w:sz="4" w:space="0" w:color="auto"/>
            </w:tcBorders>
            <w:shd w:val="clear" w:color="000000" w:fill="DDEBF7"/>
            <w:vAlign w:val="center"/>
            <w:hideMark/>
          </w:tcPr>
          <w:p w14:paraId="0DAE61D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lastRenderedPageBreak/>
              <w:t>√</w:t>
            </w:r>
          </w:p>
        </w:tc>
        <w:tc>
          <w:tcPr>
            <w:tcW w:w="1384" w:type="dxa"/>
            <w:tcBorders>
              <w:top w:val="nil"/>
              <w:left w:val="nil"/>
              <w:bottom w:val="single" w:sz="4" w:space="0" w:color="auto"/>
              <w:right w:val="single" w:sz="4" w:space="0" w:color="auto"/>
            </w:tcBorders>
            <w:shd w:val="clear" w:color="000000" w:fill="DDEBF7"/>
            <w:vAlign w:val="center"/>
            <w:hideMark/>
          </w:tcPr>
          <w:p w14:paraId="75EB18A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71E232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A3655B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51835E8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B447F00"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2BACFA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25_2</w:t>
            </w:r>
          </w:p>
        </w:tc>
        <w:tc>
          <w:tcPr>
            <w:tcW w:w="1715" w:type="dxa"/>
            <w:tcBorders>
              <w:top w:val="nil"/>
              <w:left w:val="nil"/>
              <w:bottom w:val="single" w:sz="4" w:space="0" w:color="auto"/>
              <w:right w:val="single" w:sz="4" w:space="0" w:color="auto"/>
            </w:tcBorders>
            <w:shd w:val="clear" w:color="auto" w:fill="auto"/>
            <w:vAlign w:val="center"/>
            <w:hideMark/>
          </w:tcPr>
          <w:p w14:paraId="23BDF5A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9856D98"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Accordingly, the Provider is also informed of the acceptance or rejection of its declaration by the contracting entity. In the event that the Provider does not submit the "Declaration of Commencement of Electronic Issuance of Data" within the above ten (10) day time period, the contracting Entity-Issuer is obliged to submit the declaration itself, within a period of ten (10) days, from the expiry of the deadline for submission by the Provider.</w:t>
            </w:r>
          </w:p>
        </w:tc>
        <w:tc>
          <w:tcPr>
            <w:tcW w:w="925" w:type="dxa"/>
            <w:tcBorders>
              <w:top w:val="nil"/>
              <w:left w:val="nil"/>
              <w:bottom w:val="single" w:sz="4" w:space="0" w:color="auto"/>
              <w:right w:val="single" w:sz="4" w:space="0" w:color="auto"/>
            </w:tcBorders>
            <w:shd w:val="clear" w:color="000000" w:fill="DDEBF7"/>
            <w:vAlign w:val="center"/>
            <w:hideMark/>
          </w:tcPr>
          <w:p w14:paraId="1ECA31F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DEBB11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65F5897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7A73FF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64EE21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40C2C5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DC8D30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26</w:t>
            </w:r>
          </w:p>
        </w:tc>
        <w:tc>
          <w:tcPr>
            <w:tcW w:w="1715" w:type="dxa"/>
            <w:tcBorders>
              <w:top w:val="nil"/>
              <w:left w:val="nil"/>
              <w:bottom w:val="single" w:sz="4" w:space="0" w:color="auto"/>
              <w:right w:val="single" w:sz="4" w:space="0" w:color="auto"/>
            </w:tcBorders>
            <w:shd w:val="clear" w:color="auto" w:fill="auto"/>
            <w:vAlign w:val="center"/>
            <w:hideMark/>
          </w:tcPr>
          <w:p w14:paraId="0C549DF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53BFDB2"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6.3 Before starting to use the Electronic Data Issuance Provider Services, the Issuing Entity submits and the Provider accepts a special authorization in the "Authorizations" section of </w:t>
            </w:r>
            <w:proofErr w:type="spellStart"/>
            <w:r w:rsidRPr="00A240A3">
              <w:rPr>
                <w:rFonts w:ascii="Calibri" w:eastAsia="Times New Roman" w:hAnsi="Calibri" w:cs="Calibri"/>
                <w:sz w:val="20"/>
                <w:szCs w:val="20"/>
                <w:lang w:val="en-US" w:eastAsia="el-GR"/>
              </w:rPr>
              <w:t>Taxisnet</w:t>
            </w:r>
            <w:proofErr w:type="spellEnd"/>
            <w:r w:rsidRPr="00A240A3">
              <w:rPr>
                <w:rFonts w:ascii="Calibri" w:eastAsia="Times New Roman" w:hAnsi="Calibri" w:cs="Calibri"/>
                <w:sz w:val="20"/>
                <w:szCs w:val="20"/>
                <w:lang w:val="en-US"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098052A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AEFCB5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7C58164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A5A930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5FC8590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F1E3453"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20D2A4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27</w:t>
            </w:r>
          </w:p>
        </w:tc>
        <w:tc>
          <w:tcPr>
            <w:tcW w:w="1715" w:type="dxa"/>
            <w:tcBorders>
              <w:top w:val="nil"/>
              <w:left w:val="nil"/>
              <w:bottom w:val="single" w:sz="4" w:space="0" w:color="auto"/>
              <w:right w:val="single" w:sz="4" w:space="0" w:color="auto"/>
            </w:tcBorders>
            <w:shd w:val="clear" w:color="auto" w:fill="auto"/>
            <w:vAlign w:val="center"/>
            <w:hideMark/>
          </w:tcPr>
          <w:p w14:paraId="4E1B62C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hideMark/>
          </w:tcPr>
          <w:p w14:paraId="0BA9FBC4"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6.4 The Self-Provider has a similar obligation and within the same deadline to submit the "Declaration of Commencement of Electronic Issuance of Data". In the case of the Self- Provider, the "Declaration of Commencement of Electronic Issuance of Data", in which the indication "Self-Provider" is selected, includes the provisions of par. 2 except for items c), d), g) and subpar. ii) of par. </w:t>
            </w:r>
            <w:proofErr w:type="spellStart"/>
            <w:r w:rsidRPr="00A240A3">
              <w:rPr>
                <w:rFonts w:ascii="Calibri" w:eastAsia="Times New Roman" w:hAnsi="Calibri" w:cs="Calibri"/>
                <w:sz w:val="20"/>
                <w:szCs w:val="20"/>
                <w:lang w:val="en-US" w:eastAsia="el-GR"/>
              </w:rPr>
              <w:t>i</w:t>
            </w:r>
            <w:proofErr w:type="spellEnd"/>
            <w:r w:rsidRPr="00A240A3">
              <w:rPr>
                <w:rFonts w:ascii="Calibri" w:eastAsia="Times New Roman" w:hAnsi="Calibri" w:cs="Calibri"/>
                <w:sz w:val="20"/>
                <w:szCs w:val="20"/>
                <w:lang w:val="en-US" w:eastAsia="el-GR"/>
              </w:rPr>
              <w:t>).</w:t>
            </w:r>
          </w:p>
        </w:tc>
        <w:tc>
          <w:tcPr>
            <w:tcW w:w="925" w:type="dxa"/>
            <w:tcBorders>
              <w:top w:val="nil"/>
              <w:left w:val="nil"/>
              <w:bottom w:val="single" w:sz="4" w:space="0" w:color="auto"/>
              <w:right w:val="single" w:sz="4" w:space="0" w:color="auto"/>
            </w:tcBorders>
            <w:shd w:val="clear" w:color="000000" w:fill="DDEBF7"/>
            <w:vAlign w:val="center"/>
            <w:hideMark/>
          </w:tcPr>
          <w:p w14:paraId="132C358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384" w:type="dxa"/>
            <w:tcBorders>
              <w:top w:val="nil"/>
              <w:left w:val="nil"/>
              <w:bottom w:val="single" w:sz="4" w:space="0" w:color="auto"/>
              <w:right w:val="single" w:sz="4" w:space="0" w:color="auto"/>
            </w:tcBorders>
            <w:shd w:val="clear" w:color="000000" w:fill="DDEBF7"/>
            <w:vAlign w:val="center"/>
            <w:hideMark/>
          </w:tcPr>
          <w:p w14:paraId="220ED6D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E54923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D79B32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0DAA5F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A154F64"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4CA191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28</w:t>
            </w:r>
          </w:p>
        </w:tc>
        <w:tc>
          <w:tcPr>
            <w:tcW w:w="1715" w:type="dxa"/>
            <w:tcBorders>
              <w:top w:val="nil"/>
              <w:left w:val="nil"/>
              <w:bottom w:val="single" w:sz="4" w:space="0" w:color="auto"/>
              <w:right w:val="single" w:sz="4" w:space="0" w:color="auto"/>
            </w:tcBorders>
            <w:shd w:val="clear" w:color="auto" w:fill="auto"/>
            <w:vAlign w:val="center"/>
            <w:hideMark/>
          </w:tcPr>
          <w:p w14:paraId="38313F0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44BC7C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6.5 In any case of termination of the contractual relationship between the Provider and the Issuing Entity, a "Declaration of Revocation of Electronic Issuance of Data" must be submitted either by the Issuing Entity or the Provider, as applicable, by the tenth (10th) day of the following month from the month of termination of the contractual relationship,  as evidenced from the date of the last transmission of an issued document through the use of the services of the specific Provider.</w:t>
            </w:r>
          </w:p>
        </w:tc>
        <w:tc>
          <w:tcPr>
            <w:tcW w:w="925" w:type="dxa"/>
            <w:tcBorders>
              <w:top w:val="nil"/>
              <w:left w:val="nil"/>
              <w:bottom w:val="single" w:sz="4" w:space="0" w:color="auto"/>
              <w:right w:val="single" w:sz="4" w:space="0" w:color="auto"/>
            </w:tcBorders>
            <w:shd w:val="clear" w:color="000000" w:fill="DDEBF7"/>
            <w:vAlign w:val="center"/>
            <w:hideMark/>
          </w:tcPr>
          <w:p w14:paraId="7A3D28F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75A551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7F80264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2487AF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1A1DFD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35131908"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E9374B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29</w:t>
            </w:r>
          </w:p>
        </w:tc>
        <w:tc>
          <w:tcPr>
            <w:tcW w:w="1715" w:type="dxa"/>
            <w:tcBorders>
              <w:top w:val="nil"/>
              <w:left w:val="nil"/>
              <w:bottom w:val="single" w:sz="4" w:space="0" w:color="auto"/>
              <w:right w:val="single" w:sz="4" w:space="0" w:color="auto"/>
            </w:tcBorders>
            <w:shd w:val="clear" w:color="auto" w:fill="auto"/>
            <w:vAlign w:val="center"/>
            <w:hideMark/>
          </w:tcPr>
          <w:p w14:paraId="39F14B9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8EE127B"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6.6 The Self-Provider has a similar obligation and within the same deadline to submit a "Declaration of Revocation of Electronic Issuance of Data", in the event that it ceases to provide electronic data issuance services. In this declaration, the indication "Self-Provider" is selected and the provisions of par. 5) are included, except for par. c) and d).</w:t>
            </w:r>
          </w:p>
        </w:tc>
        <w:tc>
          <w:tcPr>
            <w:tcW w:w="925" w:type="dxa"/>
            <w:tcBorders>
              <w:top w:val="nil"/>
              <w:left w:val="nil"/>
              <w:bottom w:val="single" w:sz="4" w:space="0" w:color="auto"/>
              <w:right w:val="single" w:sz="4" w:space="0" w:color="auto"/>
            </w:tcBorders>
            <w:shd w:val="clear" w:color="000000" w:fill="DDEBF7"/>
            <w:vAlign w:val="center"/>
            <w:hideMark/>
          </w:tcPr>
          <w:p w14:paraId="6047FA1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384" w:type="dxa"/>
            <w:tcBorders>
              <w:top w:val="nil"/>
              <w:left w:val="nil"/>
              <w:bottom w:val="single" w:sz="4" w:space="0" w:color="auto"/>
              <w:right w:val="single" w:sz="4" w:space="0" w:color="auto"/>
            </w:tcBorders>
            <w:shd w:val="clear" w:color="000000" w:fill="DDEBF7"/>
            <w:vAlign w:val="center"/>
            <w:hideMark/>
          </w:tcPr>
          <w:p w14:paraId="4451EC2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5DD0C3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C2ADD2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3739B2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54802B9"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8B40BD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30</w:t>
            </w:r>
          </w:p>
        </w:tc>
        <w:tc>
          <w:tcPr>
            <w:tcW w:w="1715" w:type="dxa"/>
            <w:tcBorders>
              <w:top w:val="nil"/>
              <w:left w:val="nil"/>
              <w:bottom w:val="single" w:sz="4" w:space="0" w:color="auto"/>
              <w:right w:val="single" w:sz="4" w:space="0" w:color="auto"/>
            </w:tcBorders>
            <w:shd w:val="clear" w:color="auto" w:fill="auto"/>
            <w:vAlign w:val="center"/>
            <w:hideMark/>
          </w:tcPr>
          <w:p w14:paraId="6E3813D2"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7 </w:t>
            </w:r>
            <w:r w:rsidRPr="00A240A3">
              <w:rPr>
                <w:rFonts w:ascii="Calibri" w:eastAsia="Times New Roman" w:hAnsi="Calibri" w:cs="Calibri"/>
                <w:sz w:val="20"/>
                <w:szCs w:val="20"/>
                <w:lang w:val="en-US" w:eastAsia="el-GR"/>
              </w:rPr>
              <w:br/>
              <w:t>Electronic Invoice Issuing via a Provider – Specifications of the approved "“Y.PA.H.E.S.” / E.D.I.S.P."  software</w:t>
            </w:r>
          </w:p>
        </w:tc>
        <w:tc>
          <w:tcPr>
            <w:tcW w:w="7157" w:type="dxa"/>
            <w:tcBorders>
              <w:top w:val="nil"/>
              <w:left w:val="nil"/>
              <w:bottom w:val="single" w:sz="4" w:space="0" w:color="auto"/>
              <w:right w:val="single" w:sz="4" w:space="0" w:color="auto"/>
            </w:tcBorders>
            <w:shd w:val="clear" w:color="auto" w:fill="auto"/>
            <w:vAlign w:val="center"/>
            <w:hideMark/>
          </w:tcPr>
          <w:p w14:paraId="785D46C3"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7.1. The documents of the obligated entities may be issued using the services of a Provider or a Self-provider through approved “Y.PA.H.E.S.” / E.D.I.S.P." software. All invoices or retail sales documents, which are issued and authenticated using the services of an Electronic Invoicing Service Provider, are considered electronic invoices, based on the provisions of articles 14 and 15 of law 4308/2014. In particular, in the case of a Self-provider, documents are issued exclusively for wholesale transactions.</w:t>
            </w:r>
          </w:p>
        </w:tc>
        <w:tc>
          <w:tcPr>
            <w:tcW w:w="925" w:type="dxa"/>
            <w:tcBorders>
              <w:top w:val="nil"/>
              <w:left w:val="nil"/>
              <w:bottom w:val="single" w:sz="4" w:space="0" w:color="auto"/>
              <w:right w:val="single" w:sz="4" w:space="0" w:color="auto"/>
            </w:tcBorders>
            <w:shd w:val="clear" w:color="000000" w:fill="DDEBF7"/>
            <w:vAlign w:val="center"/>
            <w:hideMark/>
          </w:tcPr>
          <w:p w14:paraId="2D70A13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4E4ECD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r w:rsidRPr="00A240A3">
              <w:rPr>
                <w:rFonts w:ascii="Calibri" w:eastAsia="Times New Roman" w:hAnsi="Calibri" w:cs="Calibri"/>
                <w:b/>
                <w:bCs/>
                <w:color w:val="000000"/>
                <w:sz w:val="28"/>
                <w:szCs w:val="28"/>
                <w:lang w:eastAsia="el-GR"/>
              </w:rPr>
              <w:br/>
            </w:r>
            <w:r w:rsidRPr="00A240A3">
              <w:rPr>
                <w:rFonts w:ascii="Calibri" w:eastAsia="Times New Roman" w:hAnsi="Calibri" w:cs="Calibri"/>
                <w:b/>
                <w:bCs/>
                <w:color w:val="000000"/>
                <w:lang w:eastAsia="el-GR"/>
              </w:rPr>
              <w:t>(</w:t>
            </w:r>
            <w:proofErr w:type="spellStart"/>
            <w:r w:rsidRPr="00A240A3">
              <w:rPr>
                <w:rFonts w:ascii="Calibri" w:eastAsia="Times New Roman" w:hAnsi="Calibri" w:cs="Calibri"/>
                <w:b/>
                <w:bCs/>
                <w:color w:val="000000"/>
                <w:lang w:eastAsia="el-GR"/>
              </w:rPr>
              <w:t>only</w:t>
            </w:r>
            <w:proofErr w:type="spellEnd"/>
            <w:r w:rsidRPr="00A240A3">
              <w:rPr>
                <w:rFonts w:ascii="Calibri" w:eastAsia="Times New Roman" w:hAnsi="Calibri" w:cs="Calibri"/>
                <w:b/>
                <w:bCs/>
                <w:color w:val="000000"/>
                <w:lang w:eastAsia="el-GR"/>
              </w:rPr>
              <w:t xml:space="preserve"> for </w:t>
            </w:r>
            <w:proofErr w:type="spellStart"/>
            <w:r w:rsidRPr="00A240A3">
              <w:rPr>
                <w:rFonts w:ascii="Calibri" w:eastAsia="Times New Roman" w:hAnsi="Calibri" w:cs="Calibri"/>
                <w:b/>
                <w:bCs/>
                <w:color w:val="000000"/>
                <w:lang w:eastAsia="el-GR"/>
              </w:rPr>
              <w:t>wholesale</w:t>
            </w:r>
            <w:proofErr w:type="spellEnd"/>
            <w:r w:rsidRPr="00A240A3">
              <w:rPr>
                <w:rFonts w:ascii="Calibri" w:eastAsia="Times New Roman" w:hAnsi="Calibri" w:cs="Calibri"/>
                <w:b/>
                <w:bCs/>
                <w:color w:val="000000"/>
                <w:lang w:eastAsia="el-GR"/>
              </w:rPr>
              <w:t xml:space="preserve"> </w:t>
            </w:r>
            <w:proofErr w:type="spellStart"/>
            <w:r w:rsidRPr="00A240A3">
              <w:rPr>
                <w:rFonts w:ascii="Calibri" w:eastAsia="Times New Roman" w:hAnsi="Calibri" w:cs="Calibri"/>
                <w:b/>
                <w:bCs/>
                <w:color w:val="000000"/>
                <w:lang w:eastAsia="el-GR"/>
              </w:rPr>
              <w:t>transactions</w:t>
            </w:r>
            <w:proofErr w:type="spellEnd"/>
            <w:r w:rsidRPr="00A240A3">
              <w:rPr>
                <w:rFonts w:ascii="Calibri" w:eastAsia="Times New Roman" w:hAnsi="Calibri" w:cs="Calibri"/>
                <w:b/>
                <w:bCs/>
                <w:color w:val="000000"/>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D5E6FE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AF810E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9ACCD2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0A789E2"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69D693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31_1</w:t>
            </w:r>
          </w:p>
        </w:tc>
        <w:tc>
          <w:tcPr>
            <w:tcW w:w="1715" w:type="dxa"/>
            <w:tcBorders>
              <w:top w:val="nil"/>
              <w:left w:val="nil"/>
              <w:bottom w:val="single" w:sz="4" w:space="0" w:color="auto"/>
              <w:right w:val="single" w:sz="4" w:space="0" w:color="auto"/>
            </w:tcBorders>
            <w:shd w:val="clear" w:color="auto" w:fill="auto"/>
            <w:vAlign w:val="center"/>
            <w:hideMark/>
          </w:tcPr>
          <w:p w14:paraId="3FDA667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89A4E0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7.2. In all cases, the issuance of a document by the entity through a Provider or Self-Provider requires direct communication (online - real time) between the entity or the physical points of issuance and the Provider or the Self-Provider respectively, at the time of issuance of the document, which is defined in articles 11 and 13 of law 4308/2014. </w:t>
            </w:r>
          </w:p>
        </w:tc>
        <w:tc>
          <w:tcPr>
            <w:tcW w:w="925" w:type="dxa"/>
            <w:tcBorders>
              <w:top w:val="nil"/>
              <w:left w:val="nil"/>
              <w:bottom w:val="single" w:sz="4" w:space="0" w:color="auto"/>
              <w:right w:val="single" w:sz="4" w:space="0" w:color="auto"/>
            </w:tcBorders>
            <w:shd w:val="clear" w:color="000000" w:fill="DDEBF7"/>
            <w:vAlign w:val="center"/>
            <w:hideMark/>
          </w:tcPr>
          <w:p w14:paraId="12B152F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7C8AC7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88C354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5E5CB6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BB8EEA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2A58D32"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6614C1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31_2</w:t>
            </w:r>
          </w:p>
        </w:tc>
        <w:tc>
          <w:tcPr>
            <w:tcW w:w="1715" w:type="dxa"/>
            <w:tcBorders>
              <w:top w:val="nil"/>
              <w:left w:val="nil"/>
              <w:bottom w:val="single" w:sz="4" w:space="0" w:color="auto"/>
              <w:right w:val="single" w:sz="4" w:space="0" w:color="auto"/>
            </w:tcBorders>
            <w:shd w:val="clear" w:color="auto" w:fill="auto"/>
            <w:vAlign w:val="center"/>
            <w:hideMark/>
          </w:tcPr>
          <w:p w14:paraId="4DB0CF8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316EDDA" w14:textId="13D7268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Cases of loss of interconnection are distinguished into loss of interconnection between a Provider and a contracted obligated entity or physical points of issuance and a Self- Provider, as well as loss of interconnection between a Provider or Self-Provider and IAPR (AADE). The first case of loss is marked on the documents issued and in the relevant data transmitted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with a distinctive indication "Loss of Entity - Provider Interconnection - Transmission Failure_1" and the second case of loss is marked with "</w:t>
            </w:r>
            <w:r w:rsidRPr="00F13B8C">
              <w:rPr>
                <w:rFonts w:ascii="Calibri" w:eastAsia="Times New Roman" w:hAnsi="Calibri" w:cs="Calibri"/>
                <w:sz w:val="20"/>
                <w:szCs w:val="20"/>
                <w:lang w:val="en-US" w:eastAsia="el-GR"/>
              </w:rPr>
              <w:t xml:space="preserve">Loss of Provider Interconnection - </w:t>
            </w:r>
            <w:r w:rsidR="00F13B8C" w:rsidRPr="00F13B8C">
              <w:rPr>
                <w:rFonts w:ascii="Calibri" w:eastAsia="Times New Roman" w:hAnsi="Calibri" w:cs="Calibri"/>
                <w:sz w:val="20"/>
                <w:szCs w:val="20"/>
                <w:lang w:val="en-US" w:eastAsia="el-GR"/>
              </w:rPr>
              <w:t>AADE/IAPR</w:t>
            </w:r>
            <w:r w:rsidR="00F13B8C">
              <w:rPr>
                <w:rFonts w:ascii="Calibri" w:eastAsia="Times New Roman" w:hAnsi="Calibri" w:cs="Calibri"/>
                <w:sz w:val="20"/>
                <w:szCs w:val="20"/>
                <w:lang w:val="en-US" w:eastAsia="el-GR"/>
              </w:rPr>
              <w:t xml:space="preserve"> </w:t>
            </w:r>
            <w:r w:rsidRPr="00F13B8C">
              <w:rPr>
                <w:rFonts w:ascii="Calibri" w:eastAsia="Times New Roman" w:hAnsi="Calibri" w:cs="Calibri"/>
                <w:sz w:val="20"/>
                <w:szCs w:val="20"/>
                <w:lang w:val="en-US" w:eastAsia="el-GR"/>
              </w:rPr>
              <w:t>- Transmission Failure_2".</w:t>
            </w:r>
          </w:p>
        </w:tc>
        <w:tc>
          <w:tcPr>
            <w:tcW w:w="925" w:type="dxa"/>
            <w:tcBorders>
              <w:top w:val="nil"/>
              <w:left w:val="nil"/>
              <w:bottom w:val="single" w:sz="4" w:space="0" w:color="auto"/>
              <w:right w:val="single" w:sz="4" w:space="0" w:color="auto"/>
            </w:tcBorders>
            <w:shd w:val="clear" w:color="000000" w:fill="DDEBF7"/>
            <w:vAlign w:val="center"/>
            <w:hideMark/>
          </w:tcPr>
          <w:p w14:paraId="71AF7C5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4410B2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E55242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3585E9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0323EF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D7DC424"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426BBB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31_3</w:t>
            </w:r>
          </w:p>
        </w:tc>
        <w:tc>
          <w:tcPr>
            <w:tcW w:w="1715" w:type="dxa"/>
            <w:tcBorders>
              <w:top w:val="nil"/>
              <w:left w:val="nil"/>
              <w:bottom w:val="single" w:sz="4" w:space="0" w:color="auto"/>
              <w:right w:val="single" w:sz="4" w:space="0" w:color="auto"/>
            </w:tcBorders>
            <w:shd w:val="clear" w:color="auto" w:fill="auto"/>
            <w:vAlign w:val="center"/>
            <w:hideMark/>
          </w:tcPr>
          <w:p w14:paraId="6CFC1B6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EB3C93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In the case of issuing retail receipts, the obligated entity is required to have an alternative method of connecting to the internet either based on mobile telephony services (network provider subscriber identity module – SIM card – Subscriber Identity/identification Module) or on another equivalent method of coverage through similar network provider services, which it uses for its successful interconnection with the Provider. The alternative equivalent method is mandatorily indicated in the contract between the Provider and the obligated entity in accordance with the provisions of paragraph 14 of article 5. </w:t>
            </w:r>
          </w:p>
        </w:tc>
        <w:tc>
          <w:tcPr>
            <w:tcW w:w="925" w:type="dxa"/>
            <w:tcBorders>
              <w:top w:val="nil"/>
              <w:left w:val="nil"/>
              <w:bottom w:val="single" w:sz="4" w:space="0" w:color="auto"/>
              <w:right w:val="single" w:sz="4" w:space="0" w:color="auto"/>
            </w:tcBorders>
            <w:shd w:val="clear" w:color="000000" w:fill="DDEBF7"/>
            <w:vAlign w:val="center"/>
            <w:hideMark/>
          </w:tcPr>
          <w:p w14:paraId="723AD61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633F00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218CBF1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F8CDC0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9E1FB9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0868156" w14:textId="77777777" w:rsidTr="00D678A7">
        <w:trPr>
          <w:trHeight w:val="229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CDA95A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31_4</w:t>
            </w:r>
          </w:p>
        </w:tc>
        <w:tc>
          <w:tcPr>
            <w:tcW w:w="1715" w:type="dxa"/>
            <w:tcBorders>
              <w:top w:val="nil"/>
              <w:left w:val="nil"/>
              <w:bottom w:val="single" w:sz="4" w:space="0" w:color="auto"/>
              <w:right w:val="single" w:sz="4" w:space="0" w:color="auto"/>
            </w:tcBorders>
            <w:shd w:val="clear" w:color="auto" w:fill="auto"/>
            <w:vAlign w:val="center"/>
            <w:hideMark/>
          </w:tcPr>
          <w:p w14:paraId="48AD371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828138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In particular: </w:t>
            </w:r>
            <w:r w:rsidRPr="00A240A3">
              <w:rPr>
                <w:rFonts w:ascii="Calibri" w:eastAsia="Times New Roman" w:hAnsi="Calibri" w:cs="Calibri"/>
                <w:sz w:val="20"/>
                <w:szCs w:val="20"/>
                <w:lang w:val="en-US" w:eastAsia="el-GR"/>
              </w:rPr>
              <w:br/>
              <w:t xml:space="preserve">a) in the event of loss of interconnection of the obligated entity or the physical points of issuance with the Provider or the Self-Provider (Transmission Failure_1) respectively, due to an interruption of the internet connection, for both retail and wholesale transactions (exclusively wholesale in the case of the Self-Provider), the obligated entity or the physical point of issuance continues to issue the relevant documents through its cash system without interrupting the transaction and transmits to the Provider or the Self-Provider, respectively, the documents within one (1) day from the date of issuance of each document, with the aim of their subsequent transmission via the Provider or Self-Provider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and to their recipients. The indication "Loss of Entity - Provider Interconnection - Transmission Failure_1" is included in the overview content of the document via a two-dimensional barcode (QR code) under the responsibility of the contracting entity.</w:t>
            </w:r>
          </w:p>
        </w:tc>
        <w:tc>
          <w:tcPr>
            <w:tcW w:w="925" w:type="dxa"/>
            <w:tcBorders>
              <w:top w:val="nil"/>
              <w:left w:val="nil"/>
              <w:bottom w:val="single" w:sz="4" w:space="0" w:color="auto"/>
              <w:right w:val="single" w:sz="4" w:space="0" w:color="auto"/>
            </w:tcBorders>
            <w:shd w:val="clear" w:color="000000" w:fill="DDEBF7"/>
            <w:vAlign w:val="center"/>
            <w:hideMark/>
          </w:tcPr>
          <w:p w14:paraId="7481DA2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49B58F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r w:rsidRPr="00A240A3">
              <w:rPr>
                <w:rFonts w:ascii="Calibri" w:eastAsia="Times New Roman" w:hAnsi="Calibri" w:cs="Calibri"/>
                <w:b/>
                <w:bCs/>
                <w:color w:val="000000"/>
                <w:sz w:val="28"/>
                <w:szCs w:val="28"/>
                <w:lang w:eastAsia="el-GR"/>
              </w:rPr>
              <w:br/>
            </w:r>
            <w:r w:rsidRPr="00A240A3">
              <w:rPr>
                <w:rFonts w:ascii="Calibri" w:eastAsia="Times New Roman" w:hAnsi="Calibri" w:cs="Calibri"/>
                <w:b/>
                <w:bCs/>
                <w:color w:val="000000"/>
                <w:lang w:eastAsia="el-GR"/>
              </w:rPr>
              <w:t>(</w:t>
            </w:r>
            <w:proofErr w:type="spellStart"/>
            <w:r w:rsidRPr="00A240A3">
              <w:rPr>
                <w:rFonts w:ascii="Calibri" w:eastAsia="Times New Roman" w:hAnsi="Calibri" w:cs="Calibri"/>
                <w:b/>
                <w:bCs/>
                <w:color w:val="000000"/>
                <w:lang w:eastAsia="el-GR"/>
              </w:rPr>
              <w:t>only</w:t>
            </w:r>
            <w:proofErr w:type="spellEnd"/>
            <w:r w:rsidRPr="00A240A3">
              <w:rPr>
                <w:rFonts w:ascii="Calibri" w:eastAsia="Times New Roman" w:hAnsi="Calibri" w:cs="Calibri"/>
                <w:b/>
                <w:bCs/>
                <w:color w:val="000000"/>
                <w:lang w:eastAsia="el-GR"/>
              </w:rPr>
              <w:t xml:space="preserve"> for </w:t>
            </w:r>
            <w:proofErr w:type="spellStart"/>
            <w:r w:rsidRPr="00A240A3">
              <w:rPr>
                <w:rFonts w:ascii="Calibri" w:eastAsia="Times New Roman" w:hAnsi="Calibri" w:cs="Calibri"/>
                <w:b/>
                <w:bCs/>
                <w:color w:val="000000"/>
                <w:lang w:eastAsia="el-GR"/>
              </w:rPr>
              <w:t>wholesale</w:t>
            </w:r>
            <w:proofErr w:type="spellEnd"/>
            <w:r w:rsidRPr="00A240A3">
              <w:rPr>
                <w:rFonts w:ascii="Calibri" w:eastAsia="Times New Roman" w:hAnsi="Calibri" w:cs="Calibri"/>
                <w:b/>
                <w:bCs/>
                <w:color w:val="000000"/>
                <w:lang w:eastAsia="el-GR"/>
              </w:rPr>
              <w:t xml:space="preserve"> </w:t>
            </w:r>
            <w:proofErr w:type="spellStart"/>
            <w:r w:rsidRPr="00A240A3">
              <w:rPr>
                <w:rFonts w:ascii="Calibri" w:eastAsia="Times New Roman" w:hAnsi="Calibri" w:cs="Calibri"/>
                <w:b/>
                <w:bCs/>
                <w:color w:val="000000"/>
                <w:lang w:eastAsia="el-GR"/>
              </w:rPr>
              <w:t>transactions</w:t>
            </w:r>
            <w:proofErr w:type="spellEnd"/>
            <w:r w:rsidRPr="00A240A3">
              <w:rPr>
                <w:rFonts w:ascii="Calibri" w:eastAsia="Times New Roman" w:hAnsi="Calibri" w:cs="Calibri"/>
                <w:b/>
                <w:bCs/>
                <w:color w:val="000000"/>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6B1088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0A0BBC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1504C2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AEAB52E" w14:textId="77777777" w:rsidTr="00D678A7">
        <w:trPr>
          <w:trHeight w:val="178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31C7BD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31_5</w:t>
            </w:r>
          </w:p>
        </w:tc>
        <w:tc>
          <w:tcPr>
            <w:tcW w:w="1715" w:type="dxa"/>
            <w:tcBorders>
              <w:top w:val="nil"/>
              <w:left w:val="nil"/>
              <w:bottom w:val="single" w:sz="4" w:space="0" w:color="auto"/>
              <w:right w:val="single" w:sz="4" w:space="0" w:color="auto"/>
            </w:tcBorders>
            <w:shd w:val="clear" w:color="auto" w:fill="auto"/>
            <w:vAlign w:val="center"/>
            <w:hideMark/>
          </w:tcPr>
          <w:p w14:paraId="36C6A90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E5011B7" w14:textId="13E466A5"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b)</w:t>
            </w:r>
            <w:r w:rsidR="00F13B8C">
              <w:rPr>
                <w:rFonts w:ascii="Calibri" w:eastAsia="Times New Roman" w:hAnsi="Calibri" w:cs="Calibri"/>
                <w:sz w:val="20"/>
                <w:szCs w:val="20"/>
                <w:lang w:val="en-US" w:eastAsia="el-GR"/>
              </w:rPr>
              <w:t xml:space="preserve"> </w:t>
            </w:r>
            <w:r w:rsidRPr="00A240A3">
              <w:rPr>
                <w:rFonts w:ascii="Calibri" w:eastAsia="Times New Roman" w:hAnsi="Calibri" w:cs="Calibri"/>
                <w:sz w:val="20"/>
                <w:szCs w:val="20"/>
                <w:lang w:val="en-US" w:eastAsia="el-GR"/>
              </w:rPr>
              <w:t xml:space="preserve">In the event of loss of interconnection between the Provider or Self-Provider and the IAPR (Transmission Failure_2) due to an interruption in the internet connection, the obligated entity or the physical point of issue continues to issue wholesale and retail sales documents (exclusively wholesale in the case of Self-Provider) using the provider's or Self-Provider's software, without interrupting the transaction and transmits to the Provider or Self-Provider respectively, the documents in real time, with the aim of their subsequent transmission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and to their Recipients within one (1) day from the date of issue of each document. The indication "</w:t>
            </w:r>
            <w:r w:rsidRPr="00F13B8C">
              <w:rPr>
                <w:rFonts w:ascii="Calibri" w:eastAsia="Times New Roman" w:hAnsi="Calibri" w:cs="Calibri"/>
                <w:sz w:val="20"/>
                <w:szCs w:val="20"/>
                <w:lang w:val="en-US" w:eastAsia="el-GR"/>
              </w:rPr>
              <w:t xml:space="preserve">Loss of Provider – </w:t>
            </w:r>
            <w:r w:rsidR="00F13B8C" w:rsidRPr="00F13B8C">
              <w:rPr>
                <w:rFonts w:ascii="Calibri" w:eastAsia="Times New Roman" w:hAnsi="Calibri" w:cs="Calibri"/>
                <w:sz w:val="20"/>
                <w:szCs w:val="20"/>
                <w:lang w:val="en-US" w:eastAsia="el-GR"/>
              </w:rPr>
              <w:t xml:space="preserve">AADE/IAPR </w:t>
            </w:r>
            <w:r w:rsidRPr="00F13B8C">
              <w:rPr>
                <w:rFonts w:ascii="Calibri" w:eastAsia="Times New Roman" w:hAnsi="Calibri" w:cs="Calibri"/>
                <w:sz w:val="20"/>
                <w:szCs w:val="20"/>
                <w:lang w:val="en-US" w:eastAsia="el-GR"/>
              </w:rPr>
              <w:t>Interconnection - Transmission Failure_2"</w:t>
            </w:r>
            <w:r w:rsidRPr="00A240A3">
              <w:rPr>
                <w:rFonts w:ascii="Calibri" w:eastAsia="Times New Roman" w:hAnsi="Calibri" w:cs="Calibri"/>
                <w:sz w:val="20"/>
                <w:szCs w:val="20"/>
                <w:lang w:val="en-US" w:eastAsia="el-GR"/>
              </w:rPr>
              <w:t xml:space="preserve"> is included in the overview content of the document via a two-dimensional barcode (QR code) under the responsibility of the Provider.</w:t>
            </w:r>
          </w:p>
        </w:tc>
        <w:tc>
          <w:tcPr>
            <w:tcW w:w="925" w:type="dxa"/>
            <w:tcBorders>
              <w:top w:val="nil"/>
              <w:left w:val="nil"/>
              <w:bottom w:val="single" w:sz="4" w:space="0" w:color="auto"/>
              <w:right w:val="single" w:sz="4" w:space="0" w:color="auto"/>
            </w:tcBorders>
            <w:shd w:val="clear" w:color="000000" w:fill="DDEBF7"/>
            <w:vAlign w:val="center"/>
            <w:hideMark/>
          </w:tcPr>
          <w:p w14:paraId="60C489F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EECFB7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r w:rsidRPr="00A240A3">
              <w:rPr>
                <w:rFonts w:ascii="Calibri" w:eastAsia="Times New Roman" w:hAnsi="Calibri" w:cs="Calibri"/>
                <w:b/>
                <w:bCs/>
                <w:color w:val="000000"/>
                <w:sz w:val="28"/>
                <w:szCs w:val="28"/>
                <w:lang w:eastAsia="el-GR"/>
              </w:rPr>
              <w:br/>
            </w:r>
            <w:r w:rsidRPr="00A240A3">
              <w:rPr>
                <w:rFonts w:ascii="Calibri" w:eastAsia="Times New Roman" w:hAnsi="Calibri" w:cs="Calibri"/>
                <w:b/>
                <w:bCs/>
                <w:color w:val="000000"/>
                <w:lang w:eastAsia="el-GR"/>
              </w:rPr>
              <w:t>(</w:t>
            </w:r>
            <w:proofErr w:type="spellStart"/>
            <w:r w:rsidRPr="00A240A3">
              <w:rPr>
                <w:rFonts w:ascii="Calibri" w:eastAsia="Times New Roman" w:hAnsi="Calibri" w:cs="Calibri"/>
                <w:b/>
                <w:bCs/>
                <w:color w:val="000000"/>
                <w:lang w:eastAsia="el-GR"/>
              </w:rPr>
              <w:t>only</w:t>
            </w:r>
            <w:proofErr w:type="spellEnd"/>
            <w:r w:rsidRPr="00A240A3">
              <w:rPr>
                <w:rFonts w:ascii="Calibri" w:eastAsia="Times New Roman" w:hAnsi="Calibri" w:cs="Calibri"/>
                <w:b/>
                <w:bCs/>
                <w:color w:val="000000"/>
                <w:lang w:eastAsia="el-GR"/>
              </w:rPr>
              <w:t xml:space="preserve"> for </w:t>
            </w:r>
            <w:proofErr w:type="spellStart"/>
            <w:r w:rsidRPr="00A240A3">
              <w:rPr>
                <w:rFonts w:ascii="Calibri" w:eastAsia="Times New Roman" w:hAnsi="Calibri" w:cs="Calibri"/>
                <w:b/>
                <w:bCs/>
                <w:color w:val="000000"/>
                <w:lang w:eastAsia="el-GR"/>
              </w:rPr>
              <w:t>wholesale</w:t>
            </w:r>
            <w:proofErr w:type="spellEnd"/>
            <w:r w:rsidRPr="00A240A3">
              <w:rPr>
                <w:rFonts w:ascii="Calibri" w:eastAsia="Times New Roman" w:hAnsi="Calibri" w:cs="Calibri"/>
                <w:b/>
                <w:bCs/>
                <w:color w:val="000000"/>
                <w:lang w:eastAsia="el-GR"/>
              </w:rPr>
              <w:t xml:space="preserve"> </w:t>
            </w:r>
            <w:proofErr w:type="spellStart"/>
            <w:r w:rsidRPr="00A240A3">
              <w:rPr>
                <w:rFonts w:ascii="Calibri" w:eastAsia="Times New Roman" w:hAnsi="Calibri" w:cs="Calibri"/>
                <w:b/>
                <w:bCs/>
                <w:color w:val="000000"/>
                <w:lang w:eastAsia="el-GR"/>
              </w:rPr>
              <w:t>transactions</w:t>
            </w:r>
            <w:proofErr w:type="spellEnd"/>
            <w:r w:rsidRPr="00A240A3">
              <w:rPr>
                <w:rFonts w:ascii="Calibri" w:eastAsia="Times New Roman" w:hAnsi="Calibri" w:cs="Calibri"/>
                <w:b/>
                <w:bCs/>
                <w:color w:val="000000"/>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4786D1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AFE935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366D44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364EBCB"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9359C8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31_6</w:t>
            </w:r>
          </w:p>
        </w:tc>
        <w:tc>
          <w:tcPr>
            <w:tcW w:w="1715" w:type="dxa"/>
            <w:tcBorders>
              <w:top w:val="nil"/>
              <w:left w:val="nil"/>
              <w:bottom w:val="single" w:sz="4" w:space="0" w:color="auto"/>
              <w:right w:val="single" w:sz="4" w:space="0" w:color="auto"/>
            </w:tcBorders>
            <w:shd w:val="clear" w:color="auto" w:fill="auto"/>
            <w:vAlign w:val="center"/>
            <w:hideMark/>
          </w:tcPr>
          <w:p w14:paraId="18C383D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FA5DF58"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c) In the event of loss of interconnection of the obligated entity or the physical points of issuance with the Provider or the Self-Provider (Transmission Failure_1) respectively due to an interruption of the electricity distribution system at the obligated entity's establishment, or at the physical point of issuance, the entity issues the retail and wholesale sales documents manually and transmits the documents in the manner specified in A.1138/2020 joint decision of the Deputy Minister of Finance and the Governor of IAPR.</w:t>
            </w:r>
          </w:p>
        </w:tc>
        <w:tc>
          <w:tcPr>
            <w:tcW w:w="925" w:type="dxa"/>
            <w:tcBorders>
              <w:top w:val="nil"/>
              <w:left w:val="nil"/>
              <w:bottom w:val="single" w:sz="4" w:space="0" w:color="auto"/>
              <w:right w:val="single" w:sz="4" w:space="0" w:color="auto"/>
            </w:tcBorders>
            <w:shd w:val="clear" w:color="000000" w:fill="DDEBF7"/>
            <w:vAlign w:val="center"/>
            <w:hideMark/>
          </w:tcPr>
          <w:p w14:paraId="3975FFB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EDF298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r w:rsidRPr="00A240A3">
              <w:rPr>
                <w:rFonts w:ascii="Calibri" w:eastAsia="Times New Roman" w:hAnsi="Calibri" w:cs="Calibri"/>
                <w:b/>
                <w:bCs/>
                <w:color w:val="000000"/>
                <w:sz w:val="28"/>
                <w:szCs w:val="28"/>
                <w:lang w:eastAsia="el-GR"/>
              </w:rPr>
              <w:br/>
            </w:r>
            <w:r w:rsidRPr="00A240A3">
              <w:rPr>
                <w:rFonts w:ascii="Calibri" w:eastAsia="Times New Roman" w:hAnsi="Calibri" w:cs="Calibri"/>
                <w:b/>
                <w:bCs/>
                <w:color w:val="000000"/>
                <w:lang w:eastAsia="el-GR"/>
              </w:rPr>
              <w:t>(</w:t>
            </w:r>
            <w:proofErr w:type="spellStart"/>
            <w:r w:rsidRPr="00A240A3">
              <w:rPr>
                <w:rFonts w:ascii="Calibri" w:eastAsia="Times New Roman" w:hAnsi="Calibri" w:cs="Calibri"/>
                <w:b/>
                <w:bCs/>
                <w:color w:val="000000"/>
                <w:lang w:eastAsia="el-GR"/>
              </w:rPr>
              <w:t>only</w:t>
            </w:r>
            <w:proofErr w:type="spellEnd"/>
            <w:r w:rsidRPr="00A240A3">
              <w:rPr>
                <w:rFonts w:ascii="Calibri" w:eastAsia="Times New Roman" w:hAnsi="Calibri" w:cs="Calibri"/>
                <w:b/>
                <w:bCs/>
                <w:color w:val="000000"/>
                <w:lang w:eastAsia="el-GR"/>
              </w:rPr>
              <w:t xml:space="preserve"> for </w:t>
            </w:r>
            <w:proofErr w:type="spellStart"/>
            <w:r w:rsidRPr="00A240A3">
              <w:rPr>
                <w:rFonts w:ascii="Calibri" w:eastAsia="Times New Roman" w:hAnsi="Calibri" w:cs="Calibri"/>
                <w:b/>
                <w:bCs/>
                <w:color w:val="000000"/>
                <w:lang w:eastAsia="el-GR"/>
              </w:rPr>
              <w:t>wholesale</w:t>
            </w:r>
            <w:proofErr w:type="spellEnd"/>
            <w:r w:rsidRPr="00A240A3">
              <w:rPr>
                <w:rFonts w:ascii="Calibri" w:eastAsia="Times New Roman" w:hAnsi="Calibri" w:cs="Calibri"/>
                <w:b/>
                <w:bCs/>
                <w:color w:val="000000"/>
                <w:lang w:eastAsia="el-GR"/>
              </w:rPr>
              <w:t xml:space="preserve"> </w:t>
            </w:r>
            <w:proofErr w:type="spellStart"/>
            <w:r w:rsidRPr="00A240A3">
              <w:rPr>
                <w:rFonts w:ascii="Calibri" w:eastAsia="Times New Roman" w:hAnsi="Calibri" w:cs="Calibri"/>
                <w:b/>
                <w:bCs/>
                <w:color w:val="000000"/>
                <w:lang w:eastAsia="el-GR"/>
              </w:rPr>
              <w:t>transactions</w:t>
            </w:r>
            <w:proofErr w:type="spellEnd"/>
            <w:r w:rsidRPr="00A240A3">
              <w:rPr>
                <w:rFonts w:ascii="Calibri" w:eastAsia="Times New Roman" w:hAnsi="Calibri" w:cs="Calibri"/>
                <w:b/>
                <w:bCs/>
                <w:color w:val="000000"/>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2480B8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0EF604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A4E92D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13758B4"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1B6BDD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32</w:t>
            </w:r>
          </w:p>
        </w:tc>
        <w:tc>
          <w:tcPr>
            <w:tcW w:w="1715" w:type="dxa"/>
            <w:tcBorders>
              <w:top w:val="nil"/>
              <w:left w:val="nil"/>
              <w:bottom w:val="single" w:sz="4" w:space="0" w:color="auto"/>
              <w:right w:val="single" w:sz="4" w:space="0" w:color="auto"/>
            </w:tcBorders>
            <w:shd w:val="clear" w:color="auto" w:fill="auto"/>
            <w:vAlign w:val="center"/>
            <w:hideMark/>
          </w:tcPr>
          <w:p w14:paraId="4A9D949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A59E9C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7.3. In the case of issuing retail documents through a Provider instead of using an electronic tax mechanism, in accordance with the provisions of paragraph 10 of article 12 of law 4308/2014 (Government Gazette A'251), there is an obligation to both mark the document data associated with the issued retail documents, and to ensure the uniqueness and authenticity of their marking with an additional mandatory indication of the time of their issuance.</w:t>
            </w:r>
          </w:p>
        </w:tc>
        <w:tc>
          <w:tcPr>
            <w:tcW w:w="925" w:type="dxa"/>
            <w:tcBorders>
              <w:top w:val="nil"/>
              <w:left w:val="nil"/>
              <w:bottom w:val="single" w:sz="4" w:space="0" w:color="auto"/>
              <w:right w:val="single" w:sz="4" w:space="0" w:color="auto"/>
            </w:tcBorders>
            <w:shd w:val="clear" w:color="000000" w:fill="DDEBF7"/>
            <w:vAlign w:val="center"/>
            <w:hideMark/>
          </w:tcPr>
          <w:p w14:paraId="066B36D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A248A8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6E28F5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CA1EEF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B589AC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D85B521"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352CE1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33</w:t>
            </w:r>
          </w:p>
        </w:tc>
        <w:tc>
          <w:tcPr>
            <w:tcW w:w="1715" w:type="dxa"/>
            <w:tcBorders>
              <w:top w:val="nil"/>
              <w:left w:val="nil"/>
              <w:bottom w:val="single" w:sz="4" w:space="0" w:color="auto"/>
              <w:right w:val="single" w:sz="4" w:space="0" w:color="auto"/>
            </w:tcBorders>
            <w:shd w:val="clear" w:color="auto" w:fill="auto"/>
            <w:vAlign w:val="center"/>
            <w:hideMark/>
          </w:tcPr>
          <w:p w14:paraId="1AB8A33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859650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7.4. The issued document is made available to the recipient in electronic form using the infrastructure of the Provider or the Self-Provider. In particular, in the case of the retail sales of inventory or provision of services, the issued retail sales data are either sent electronically to private consumers on the condition that they can be shown by them in the event of a tax audit, or are printed and delivered to them with each delivery of inventory or completion of the provision of services.</w:t>
            </w:r>
          </w:p>
        </w:tc>
        <w:tc>
          <w:tcPr>
            <w:tcW w:w="925" w:type="dxa"/>
            <w:tcBorders>
              <w:top w:val="nil"/>
              <w:left w:val="nil"/>
              <w:bottom w:val="single" w:sz="4" w:space="0" w:color="auto"/>
              <w:right w:val="single" w:sz="4" w:space="0" w:color="auto"/>
            </w:tcBorders>
            <w:shd w:val="clear" w:color="000000" w:fill="DDEBF7"/>
            <w:vAlign w:val="center"/>
            <w:hideMark/>
          </w:tcPr>
          <w:p w14:paraId="58864A7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2E3673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8FA598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748852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5427FF9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E81044D" w14:textId="77777777" w:rsidTr="002601F8">
        <w:trPr>
          <w:trHeight w:val="727"/>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D8261F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34</w:t>
            </w:r>
          </w:p>
        </w:tc>
        <w:tc>
          <w:tcPr>
            <w:tcW w:w="1715" w:type="dxa"/>
            <w:tcBorders>
              <w:top w:val="nil"/>
              <w:left w:val="nil"/>
              <w:bottom w:val="single" w:sz="4" w:space="0" w:color="auto"/>
              <w:right w:val="single" w:sz="4" w:space="0" w:color="auto"/>
            </w:tcBorders>
            <w:shd w:val="clear" w:color="auto" w:fill="auto"/>
            <w:vAlign w:val="center"/>
            <w:hideMark/>
          </w:tcPr>
          <w:p w14:paraId="7DF53CA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42509DE"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val="en-US" w:eastAsia="el-GR"/>
              </w:rPr>
              <w:t xml:space="preserve">7.5. Each document issued using the services of a Provider or Self-Provider must include, in addition to the fields defined in article 9 of law 4308/2014, the name, the website of the Provider or Self-Provider, the authentication string, the Unique Registration Number (URN-MARK), the date and time of issuance, as well as the document identifier. The Provider or the Self-Provider authenticates the document using the SHA-1 algorithm. Furthermore, for each issued document, the tax summary of the electronic element is sent to IAPR in a specific format type and following a </w:t>
            </w:r>
            <w:r w:rsidRPr="00A240A3">
              <w:rPr>
                <w:rFonts w:ascii="Calibri" w:eastAsia="Times New Roman" w:hAnsi="Calibri" w:cs="Calibri"/>
                <w:sz w:val="20"/>
                <w:szCs w:val="20"/>
                <w:lang w:val="en-US" w:eastAsia="el-GR"/>
              </w:rPr>
              <w:lastRenderedPageBreak/>
              <w:t xml:space="preserve">specific sending procedure, posted on the IAPR’s website. </w:t>
            </w:r>
            <w:r w:rsidRPr="00A240A3">
              <w:rPr>
                <w:rFonts w:ascii="Calibri" w:eastAsia="Times New Roman" w:hAnsi="Calibri" w:cs="Calibri"/>
                <w:sz w:val="20"/>
                <w:szCs w:val="20"/>
                <w:lang w:eastAsia="el-GR"/>
              </w:rPr>
              <w:t xml:space="preserve">The </w:t>
            </w:r>
            <w:proofErr w:type="spellStart"/>
            <w:r w:rsidRPr="00A240A3">
              <w:rPr>
                <w:rFonts w:ascii="Calibri" w:eastAsia="Times New Roman" w:hAnsi="Calibri" w:cs="Calibri"/>
                <w:sz w:val="20"/>
                <w:szCs w:val="20"/>
                <w:lang w:eastAsia="el-GR"/>
              </w:rPr>
              <w:t>above</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is</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described</w:t>
            </w:r>
            <w:proofErr w:type="spellEnd"/>
            <w:r w:rsidRPr="00A240A3">
              <w:rPr>
                <w:rFonts w:ascii="Calibri" w:eastAsia="Times New Roman" w:hAnsi="Calibri" w:cs="Calibri"/>
                <w:sz w:val="20"/>
                <w:szCs w:val="20"/>
                <w:lang w:eastAsia="el-GR"/>
              </w:rPr>
              <w:t xml:space="preserve"> in </w:t>
            </w:r>
            <w:proofErr w:type="spellStart"/>
            <w:r w:rsidRPr="00A240A3">
              <w:rPr>
                <w:rFonts w:ascii="Calibri" w:eastAsia="Times New Roman" w:hAnsi="Calibri" w:cs="Calibri"/>
                <w:sz w:val="20"/>
                <w:szCs w:val="20"/>
                <w:lang w:eastAsia="el-GR"/>
              </w:rPr>
              <w:t>Annex</w:t>
            </w:r>
            <w:proofErr w:type="spellEnd"/>
            <w:r w:rsidRPr="00A240A3">
              <w:rPr>
                <w:rFonts w:ascii="Calibri" w:eastAsia="Times New Roman" w:hAnsi="Calibri" w:cs="Calibri"/>
                <w:sz w:val="20"/>
                <w:szCs w:val="20"/>
                <w:lang w:eastAsia="el-GR"/>
              </w:rPr>
              <w:t xml:space="preserve"> B.</w:t>
            </w:r>
          </w:p>
        </w:tc>
        <w:tc>
          <w:tcPr>
            <w:tcW w:w="925" w:type="dxa"/>
            <w:tcBorders>
              <w:top w:val="nil"/>
              <w:left w:val="nil"/>
              <w:bottom w:val="single" w:sz="4" w:space="0" w:color="auto"/>
              <w:right w:val="single" w:sz="4" w:space="0" w:color="auto"/>
            </w:tcBorders>
            <w:shd w:val="clear" w:color="000000" w:fill="DDEBF7"/>
            <w:vAlign w:val="center"/>
            <w:hideMark/>
          </w:tcPr>
          <w:p w14:paraId="5BF867D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lastRenderedPageBreak/>
              <w:t>√</w:t>
            </w:r>
          </w:p>
        </w:tc>
        <w:tc>
          <w:tcPr>
            <w:tcW w:w="1384" w:type="dxa"/>
            <w:tcBorders>
              <w:top w:val="nil"/>
              <w:left w:val="nil"/>
              <w:bottom w:val="single" w:sz="4" w:space="0" w:color="auto"/>
              <w:right w:val="single" w:sz="4" w:space="0" w:color="auto"/>
            </w:tcBorders>
            <w:shd w:val="clear" w:color="000000" w:fill="DDEBF7"/>
            <w:vAlign w:val="center"/>
            <w:hideMark/>
          </w:tcPr>
          <w:p w14:paraId="63B43C9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484F0A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B1200C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CB59E2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2E2F2C9F" w14:textId="77777777" w:rsidTr="00D678A7">
        <w:trPr>
          <w:trHeight w:val="229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68ED86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35_1</w:t>
            </w:r>
          </w:p>
        </w:tc>
        <w:tc>
          <w:tcPr>
            <w:tcW w:w="1715" w:type="dxa"/>
            <w:tcBorders>
              <w:top w:val="nil"/>
              <w:left w:val="nil"/>
              <w:bottom w:val="single" w:sz="4" w:space="0" w:color="auto"/>
              <w:right w:val="single" w:sz="4" w:space="0" w:color="auto"/>
            </w:tcBorders>
            <w:shd w:val="clear" w:color="auto" w:fill="auto"/>
            <w:vAlign w:val="center"/>
            <w:hideMark/>
          </w:tcPr>
          <w:p w14:paraId="5111173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7B3DE5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7.6. Documents issued using Provider or Self-Provider services must bear a two-dimensional barcode (URL-type QR code), which is based on the encoded text returned by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upon successful transmission of the document and must also contain the received URN (MARK) (Unique Registration Number). The Provider or the Self-Provider confirms the content of the document through the two-dimensional barcode (QR code), which is used by the recipient or the competent employee of the Independent Authority for Public Revenue to review the entire document on the Provider's or Self-Provider's website. The technical details of the two-dimensional barcode (QR code) and the content of the overview are posted on the IAPR website. In the case of printing the documents issued using the services of a Provider or Self-Provider, it is mandatory, in addition to the fields specified in Article 9 of law 4308/2014, to include the time of issue, the URN (MARK), the two-dimensional barcode (QR code), the Document ID, the Document Authentication string, the “Y.PA.H.E.S.” / E.D.I.S.P." software suitability license number, and the website of the Provider or Self-Provider.</w:t>
            </w:r>
          </w:p>
        </w:tc>
        <w:tc>
          <w:tcPr>
            <w:tcW w:w="925" w:type="dxa"/>
            <w:tcBorders>
              <w:top w:val="nil"/>
              <w:left w:val="nil"/>
              <w:bottom w:val="single" w:sz="4" w:space="0" w:color="auto"/>
              <w:right w:val="single" w:sz="4" w:space="0" w:color="auto"/>
            </w:tcBorders>
            <w:shd w:val="clear" w:color="000000" w:fill="DDEBF7"/>
            <w:vAlign w:val="center"/>
            <w:hideMark/>
          </w:tcPr>
          <w:p w14:paraId="6A64744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ACDEA7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8A897D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6D51CC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8BE78D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E15FCF4" w14:textId="77777777" w:rsidTr="00D678A7">
        <w:trPr>
          <w:trHeight w:val="229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2CF990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35_2</w:t>
            </w:r>
          </w:p>
        </w:tc>
        <w:tc>
          <w:tcPr>
            <w:tcW w:w="1715" w:type="dxa"/>
            <w:tcBorders>
              <w:top w:val="nil"/>
              <w:left w:val="nil"/>
              <w:bottom w:val="single" w:sz="4" w:space="0" w:color="auto"/>
              <w:right w:val="single" w:sz="4" w:space="0" w:color="auto"/>
            </w:tcBorders>
            <w:shd w:val="clear" w:color="auto" w:fill="auto"/>
            <w:vAlign w:val="center"/>
            <w:hideMark/>
          </w:tcPr>
          <w:p w14:paraId="512F073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433FEF4" w14:textId="6D182939"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In the event of a loss of connection: </w:t>
            </w:r>
            <w:r w:rsidRPr="00A240A3">
              <w:rPr>
                <w:rFonts w:ascii="Calibri" w:eastAsia="Times New Roman" w:hAnsi="Calibri" w:cs="Calibri"/>
                <w:sz w:val="20"/>
                <w:szCs w:val="20"/>
                <w:lang w:val="en-US" w:eastAsia="el-GR"/>
              </w:rPr>
              <w:br/>
              <w:t xml:space="preserve">a) between the obligated entity and the Provider or physical points of issue and the Self-Provider, the documents shall not include the data specified in Annex B. Instead, they shall have the indication "Loss of Entity - Provider Interconnection - Transmission Failure_1", under the responsibility of the obligated entity, which issues the said documents with a two-dimensional barcode (QR code). </w:t>
            </w:r>
            <w:r w:rsidRPr="00A240A3">
              <w:rPr>
                <w:rFonts w:ascii="Calibri" w:eastAsia="Times New Roman" w:hAnsi="Calibri" w:cs="Calibri"/>
                <w:sz w:val="20"/>
                <w:szCs w:val="20"/>
                <w:lang w:val="en-US" w:eastAsia="el-GR"/>
              </w:rPr>
              <w:br/>
              <w:t xml:space="preserve">b) between the Provider or Self-Provider and IAPR, the documents shall contain the data specified in Annex B without the URN (MARK) and the Authentication String. In addition, the indication "Loss of Provider – </w:t>
            </w:r>
            <w:r w:rsidR="00F13B8C" w:rsidRPr="00F13B8C">
              <w:rPr>
                <w:rFonts w:ascii="Calibri" w:eastAsia="Times New Roman" w:hAnsi="Calibri" w:cs="Calibri"/>
                <w:sz w:val="20"/>
                <w:szCs w:val="20"/>
                <w:lang w:val="en-US" w:eastAsia="el-GR"/>
              </w:rPr>
              <w:t>AADE/IAPR</w:t>
            </w:r>
            <w:r w:rsidRPr="00A240A3">
              <w:rPr>
                <w:rFonts w:ascii="Calibri" w:eastAsia="Times New Roman" w:hAnsi="Calibri" w:cs="Calibri"/>
                <w:sz w:val="20"/>
                <w:szCs w:val="20"/>
                <w:lang w:val="en-US" w:eastAsia="el-GR"/>
              </w:rPr>
              <w:t xml:space="preserve"> Interconnection - Transmission Failure_2" is included, under the responsibility of the Provider or Self-Provider, who transmits the documents in question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w:t>
            </w:r>
            <w:r w:rsidRPr="00A240A3">
              <w:rPr>
                <w:rFonts w:ascii="Calibri" w:eastAsia="Times New Roman" w:hAnsi="Calibri" w:cs="Calibri"/>
                <w:sz w:val="20"/>
                <w:szCs w:val="20"/>
                <w:lang w:val="en-US" w:eastAsia="el-GR"/>
              </w:rPr>
              <w:br/>
              <w:t>c) Following the completion of the transmission process, the documents are updated and include the data in Annex B, as attributed by the IAPR.</w:t>
            </w:r>
          </w:p>
        </w:tc>
        <w:tc>
          <w:tcPr>
            <w:tcW w:w="925" w:type="dxa"/>
            <w:tcBorders>
              <w:top w:val="nil"/>
              <w:left w:val="nil"/>
              <w:bottom w:val="single" w:sz="4" w:space="0" w:color="auto"/>
              <w:right w:val="single" w:sz="4" w:space="0" w:color="auto"/>
            </w:tcBorders>
            <w:shd w:val="clear" w:color="000000" w:fill="DDEBF7"/>
            <w:vAlign w:val="center"/>
            <w:hideMark/>
          </w:tcPr>
          <w:p w14:paraId="29C89EC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080CEE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88D4E4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FFFD62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4C7550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9233A5A"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C960FC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36_1</w:t>
            </w:r>
          </w:p>
        </w:tc>
        <w:tc>
          <w:tcPr>
            <w:tcW w:w="1715" w:type="dxa"/>
            <w:tcBorders>
              <w:top w:val="nil"/>
              <w:left w:val="nil"/>
              <w:bottom w:val="single" w:sz="4" w:space="0" w:color="auto"/>
              <w:right w:val="single" w:sz="4" w:space="0" w:color="auto"/>
            </w:tcBorders>
            <w:shd w:val="clear" w:color="auto" w:fill="auto"/>
            <w:vAlign w:val="center"/>
            <w:hideMark/>
          </w:tcPr>
          <w:p w14:paraId="73E932A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448B17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7.7. The electronic document is sent to the recipient by the issuer's Provider or the Self-Provider, directly to him, provided that the recipient does not use the services of an electronic data issuance Provider, with the recipient defining the method of receiving the document, otherwise, the electronic document is sent through the recipient's Provider. The display of the document sent by the Provider may differ from the display of the document kept by the Issuing entity for its own purposes. </w:t>
            </w:r>
          </w:p>
        </w:tc>
        <w:tc>
          <w:tcPr>
            <w:tcW w:w="925" w:type="dxa"/>
            <w:tcBorders>
              <w:top w:val="nil"/>
              <w:left w:val="nil"/>
              <w:bottom w:val="single" w:sz="4" w:space="0" w:color="auto"/>
              <w:right w:val="single" w:sz="4" w:space="0" w:color="auto"/>
            </w:tcBorders>
            <w:shd w:val="clear" w:color="000000" w:fill="DDEBF7"/>
            <w:vAlign w:val="center"/>
            <w:hideMark/>
          </w:tcPr>
          <w:p w14:paraId="03CE089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22D40B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D18392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5550EA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B2081E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FFF8716" w14:textId="77777777" w:rsidTr="00D678A7">
        <w:trPr>
          <w:trHeight w:val="178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7826F9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36_2</w:t>
            </w:r>
          </w:p>
        </w:tc>
        <w:tc>
          <w:tcPr>
            <w:tcW w:w="1715" w:type="dxa"/>
            <w:tcBorders>
              <w:top w:val="nil"/>
              <w:left w:val="nil"/>
              <w:bottom w:val="single" w:sz="4" w:space="0" w:color="auto"/>
              <w:right w:val="single" w:sz="4" w:space="0" w:color="auto"/>
            </w:tcBorders>
            <w:shd w:val="clear" w:color="auto" w:fill="auto"/>
            <w:vAlign w:val="center"/>
            <w:hideMark/>
          </w:tcPr>
          <w:p w14:paraId="31FF554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B77A72A" w14:textId="6FD28348"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Exceptionally, in cases of transactions carried out within the framework of public contracts and invoicing of other expenses of General Government bodies, the electronic document is sent to the recipient through the Interoperability Center (IC/KED) of the General Secretariat of Information Systems and Digital Governance (GSISDG), which operates as a hub for routing their data to the information systems of the competent bodies. In the event that the Entity deems it necessary to correct invoice fields for these transactions by resending them to it, and these fields do not include information that is part of the mandatory</w:t>
            </w:r>
            <w:r w:rsidR="005E1D82">
              <w:rPr>
                <w:rFonts w:ascii="Calibri" w:eastAsia="Times New Roman" w:hAnsi="Calibri" w:cs="Calibri"/>
                <w:sz w:val="20"/>
                <w:szCs w:val="20"/>
                <w:lang w:val="en-US" w:eastAsia="el-GR"/>
              </w:rPr>
              <w:t xml:space="preserve"> </w:t>
            </w:r>
            <w:r w:rsidRPr="00A240A3">
              <w:rPr>
                <w:rFonts w:ascii="Calibri" w:eastAsia="Times New Roman" w:hAnsi="Calibri" w:cs="Calibri"/>
                <w:sz w:val="20"/>
                <w:szCs w:val="20"/>
                <w:lang w:val="en-US" w:eastAsia="el-GR"/>
              </w:rPr>
              <w:t xml:space="preserve">data to be transmitted according to the joint decision A.1138/2020 of the Deputy Minister of Finance and the Governor of the IAPR, it is not necessary to resend the data of these documents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w:t>
            </w:r>
          </w:p>
        </w:tc>
        <w:tc>
          <w:tcPr>
            <w:tcW w:w="925" w:type="dxa"/>
            <w:tcBorders>
              <w:top w:val="nil"/>
              <w:left w:val="nil"/>
              <w:bottom w:val="single" w:sz="4" w:space="0" w:color="auto"/>
              <w:right w:val="single" w:sz="4" w:space="0" w:color="auto"/>
            </w:tcBorders>
            <w:shd w:val="clear" w:color="000000" w:fill="DDEBF7"/>
            <w:vAlign w:val="center"/>
            <w:hideMark/>
          </w:tcPr>
          <w:p w14:paraId="2854C15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689DA3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185E90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94A1C2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B26866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A29935A"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8EE088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37</w:t>
            </w:r>
          </w:p>
        </w:tc>
        <w:tc>
          <w:tcPr>
            <w:tcW w:w="1715" w:type="dxa"/>
            <w:tcBorders>
              <w:top w:val="nil"/>
              <w:left w:val="nil"/>
              <w:bottom w:val="single" w:sz="4" w:space="0" w:color="auto"/>
              <w:right w:val="single" w:sz="4" w:space="0" w:color="auto"/>
            </w:tcBorders>
            <w:shd w:val="clear" w:color="auto" w:fill="auto"/>
            <w:vAlign w:val="center"/>
            <w:hideMark/>
          </w:tcPr>
          <w:p w14:paraId="3EC9B2A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AD69BE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7.8. With regard to entities, which according to the provisions of A.1138/2020 joint decision of the Deputy Minister of Finance and the Governor of the IAPR may transmit the data of the revenue documents within two days from the date of their issuance and, if they make use of this option, the Provider or the Self-Provider shall transmit the relevant data under its own responsibility, within the above deadline, with the indication "Transmission_T+2".</w:t>
            </w:r>
          </w:p>
        </w:tc>
        <w:tc>
          <w:tcPr>
            <w:tcW w:w="925" w:type="dxa"/>
            <w:tcBorders>
              <w:top w:val="nil"/>
              <w:left w:val="nil"/>
              <w:bottom w:val="single" w:sz="4" w:space="0" w:color="auto"/>
              <w:right w:val="single" w:sz="4" w:space="0" w:color="auto"/>
            </w:tcBorders>
            <w:shd w:val="clear" w:color="000000" w:fill="DDEBF7"/>
            <w:vAlign w:val="center"/>
            <w:hideMark/>
          </w:tcPr>
          <w:p w14:paraId="76290AA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F8B431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C98FA9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937" w:type="dxa"/>
            <w:tcBorders>
              <w:top w:val="nil"/>
              <w:left w:val="nil"/>
              <w:bottom w:val="single" w:sz="4" w:space="0" w:color="auto"/>
              <w:right w:val="single" w:sz="4" w:space="0" w:color="auto"/>
            </w:tcBorders>
            <w:shd w:val="clear" w:color="auto" w:fill="auto"/>
            <w:noWrap/>
            <w:vAlign w:val="center"/>
            <w:hideMark/>
          </w:tcPr>
          <w:p w14:paraId="53D2E9D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985" w:type="dxa"/>
            <w:tcBorders>
              <w:top w:val="nil"/>
              <w:left w:val="nil"/>
              <w:bottom w:val="single" w:sz="4" w:space="0" w:color="auto"/>
              <w:right w:val="single" w:sz="4" w:space="0" w:color="auto"/>
            </w:tcBorders>
            <w:shd w:val="clear" w:color="auto" w:fill="auto"/>
            <w:vAlign w:val="center"/>
            <w:hideMark/>
          </w:tcPr>
          <w:p w14:paraId="5D60EB2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67D5965" w14:textId="77777777" w:rsidTr="00D678A7">
        <w:trPr>
          <w:trHeight w:val="265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806C44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38</w:t>
            </w:r>
          </w:p>
        </w:tc>
        <w:tc>
          <w:tcPr>
            <w:tcW w:w="1715" w:type="dxa"/>
            <w:tcBorders>
              <w:top w:val="nil"/>
              <w:left w:val="nil"/>
              <w:bottom w:val="single" w:sz="4" w:space="0" w:color="auto"/>
              <w:right w:val="single" w:sz="4" w:space="0" w:color="auto"/>
            </w:tcBorders>
            <w:shd w:val="clear" w:color="auto" w:fill="auto"/>
            <w:vAlign w:val="center"/>
            <w:hideMark/>
          </w:tcPr>
          <w:p w14:paraId="16A4B6CE"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8 </w:t>
            </w:r>
            <w:r w:rsidRPr="00A240A3">
              <w:rPr>
                <w:rFonts w:ascii="Calibri" w:eastAsia="Times New Roman" w:hAnsi="Calibri" w:cs="Calibri"/>
                <w:sz w:val="20"/>
                <w:szCs w:val="20"/>
                <w:lang w:val="en-US" w:eastAsia="el-GR"/>
              </w:rPr>
              <w:br/>
              <w:t>Specific obligations of the Provider for the interconnection of the "“Y.PA.H.E.S.” / E.D.I.S.P." Cash Systems with the Means of Payment (EFT/POS) in accordance with the decision of the Governor of IAPR under reference A.1155/2023.</w:t>
            </w:r>
          </w:p>
        </w:tc>
        <w:tc>
          <w:tcPr>
            <w:tcW w:w="7157" w:type="dxa"/>
            <w:tcBorders>
              <w:top w:val="nil"/>
              <w:left w:val="nil"/>
              <w:bottom w:val="single" w:sz="4" w:space="0" w:color="auto"/>
              <w:right w:val="single" w:sz="4" w:space="0" w:color="auto"/>
            </w:tcBorders>
            <w:shd w:val="clear" w:color="auto" w:fill="auto"/>
            <w:vAlign w:val="center"/>
            <w:hideMark/>
          </w:tcPr>
          <w:p w14:paraId="4805BC9A" w14:textId="4BB3FEF1" w:rsidR="00D678A7" w:rsidRPr="00A240A3" w:rsidRDefault="005F6694" w:rsidP="00D678A7">
            <w:pPr>
              <w:spacing w:after="0" w:line="240" w:lineRule="auto"/>
              <w:rPr>
                <w:rFonts w:ascii="Calibri" w:eastAsia="Times New Roman" w:hAnsi="Calibri" w:cs="Calibri"/>
                <w:sz w:val="20"/>
                <w:szCs w:val="20"/>
                <w:lang w:val="en-US" w:eastAsia="el-GR"/>
              </w:rPr>
            </w:pPr>
            <w:r w:rsidRPr="005F6694">
              <w:rPr>
                <w:rFonts w:ascii="Calibri" w:eastAsia="Times New Roman" w:hAnsi="Calibri" w:cs="Calibri"/>
                <w:sz w:val="20"/>
                <w:szCs w:val="20"/>
                <w:lang w:val="en-US" w:eastAsia="el-GR"/>
              </w:rPr>
              <w:t xml:space="preserve">8.1. </w:t>
            </w:r>
            <w:r>
              <w:rPr>
                <w:rFonts w:ascii="Calibri" w:eastAsia="Times New Roman" w:hAnsi="Calibri" w:cs="Calibri"/>
                <w:sz w:val="20"/>
                <w:szCs w:val="20"/>
                <w:lang w:val="en-US" w:eastAsia="el-GR"/>
              </w:rPr>
              <w:t>T</w:t>
            </w:r>
            <w:r w:rsidRPr="005F6694">
              <w:rPr>
                <w:rFonts w:ascii="Calibri" w:eastAsia="Times New Roman" w:hAnsi="Calibri" w:cs="Calibri"/>
                <w:sz w:val="20"/>
                <w:szCs w:val="20"/>
                <w:lang w:val="en-US" w:eastAsia="el-GR"/>
              </w:rPr>
              <w:t xml:space="preserve">he Provider is obliged to serve the Cash Systems that use its services for the issuance of revenue documents in accordance with articles 8, 10 and 12 of law 4308/2014 (invoices, retail sales receipts) and other documents corresponding to receipts of collection, receipts of collection on behalf of third parties and return receipts for transactions carried out using Means of Payment (EFT/POS), both for simultaneous and non- simultaneous transactions, in accordance with the Basic Interconnection Rule of the decision of the Governor of the Independent Authority for Public Revenue under reference A.1155/2023. </w:t>
            </w:r>
            <w:r w:rsidR="00D678A7" w:rsidRPr="00A240A3">
              <w:rPr>
                <w:rFonts w:ascii="Calibri" w:eastAsia="Times New Roman" w:hAnsi="Calibri" w:cs="Calibri"/>
                <w:sz w:val="20"/>
                <w:szCs w:val="20"/>
                <w:lang w:val="en-US" w:eastAsia="el-GR"/>
              </w:rPr>
              <w:t xml:space="preserve"> </w:t>
            </w:r>
          </w:p>
        </w:tc>
        <w:tc>
          <w:tcPr>
            <w:tcW w:w="925" w:type="dxa"/>
            <w:tcBorders>
              <w:top w:val="nil"/>
              <w:left w:val="nil"/>
              <w:bottom w:val="single" w:sz="4" w:space="0" w:color="auto"/>
              <w:right w:val="single" w:sz="4" w:space="0" w:color="auto"/>
            </w:tcBorders>
            <w:shd w:val="clear" w:color="000000" w:fill="DDEBF7"/>
            <w:vAlign w:val="center"/>
            <w:hideMark/>
          </w:tcPr>
          <w:p w14:paraId="1F21298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642E1C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EDB8E6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7F3688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FFDCBB9"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25F814E3"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1DB1B5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39</w:t>
            </w:r>
          </w:p>
        </w:tc>
        <w:tc>
          <w:tcPr>
            <w:tcW w:w="1715" w:type="dxa"/>
            <w:tcBorders>
              <w:top w:val="nil"/>
              <w:left w:val="nil"/>
              <w:bottom w:val="single" w:sz="4" w:space="0" w:color="auto"/>
              <w:right w:val="single" w:sz="4" w:space="0" w:color="auto"/>
            </w:tcBorders>
            <w:shd w:val="clear" w:color="auto" w:fill="auto"/>
            <w:vAlign w:val="center"/>
            <w:hideMark/>
          </w:tcPr>
          <w:p w14:paraId="1DB55D9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1D3E9B4"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8.2. The Provider is obliged to create the "“Y.PA.H.E.S.” / E.D.I.S.P." Cash System Payment Signature (Provider’s Signature) upon request carried out by the "“Y.PA.H.E.S.” / E.D.I.S.P." Cash System of the User of payment services after receiving all the data of the document under issue.</w:t>
            </w:r>
          </w:p>
        </w:tc>
        <w:tc>
          <w:tcPr>
            <w:tcW w:w="925" w:type="dxa"/>
            <w:tcBorders>
              <w:top w:val="nil"/>
              <w:left w:val="nil"/>
              <w:bottom w:val="single" w:sz="4" w:space="0" w:color="auto"/>
              <w:right w:val="single" w:sz="4" w:space="0" w:color="auto"/>
            </w:tcBorders>
            <w:shd w:val="clear" w:color="000000" w:fill="DDEBF7"/>
            <w:vAlign w:val="center"/>
            <w:hideMark/>
          </w:tcPr>
          <w:p w14:paraId="49B990A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EEF56F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6EE75A8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C89CEE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DD4561B"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2FEFF31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946227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40</w:t>
            </w:r>
          </w:p>
        </w:tc>
        <w:tc>
          <w:tcPr>
            <w:tcW w:w="1715" w:type="dxa"/>
            <w:tcBorders>
              <w:top w:val="nil"/>
              <w:left w:val="nil"/>
              <w:bottom w:val="single" w:sz="4" w:space="0" w:color="auto"/>
              <w:right w:val="single" w:sz="4" w:space="0" w:color="auto"/>
            </w:tcBorders>
            <w:shd w:val="clear" w:color="auto" w:fill="auto"/>
            <w:vAlign w:val="center"/>
            <w:hideMark/>
          </w:tcPr>
          <w:p w14:paraId="52A49BC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FF7E5E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8.3. The Provider is obliged to comply with the content of the "“Y.PA.H.E.S.” / E.D.I.S.P." Cash System Payment Signature (Provider's Signature).</w:t>
            </w:r>
          </w:p>
        </w:tc>
        <w:tc>
          <w:tcPr>
            <w:tcW w:w="925" w:type="dxa"/>
            <w:tcBorders>
              <w:top w:val="nil"/>
              <w:left w:val="nil"/>
              <w:bottom w:val="single" w:sz="4" w:space="0" w:color="auto"/>
              <w:right w:val="single" w:sz="4" w:space="0" w:color="auto"/>
            </w:tcBorders>
            <w:shd w:val="clear" w:color="000000" w:fill="DDEBF7"/>
            <w:vAlign w:val="center"/>
            <w:hideMark/>
          </w:tcPr>
          <w:p w14:paraId="343B778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865611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144B850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03B422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C6669A6"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0CD29E01"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34CFDC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41</w:t>
            </w:r>
          </w:p>
        </w:tc>
        <w:tc>
          <w:tcPr>
            <w:tcW w:w="1715" w:type="dxa"/>
            <w:tcBorders>
              <w:top w:val="nil"/>
              <w:left w:val="nil"/>
              <w:bottom w:val="single" w:sz="4" w:space="0" w:color="auto"/>
              <w:right w:val="single" w:sz="4" w:space="0" w:color="auto"/>
            </w:tcBorders>
            <w:shd w:val="clear" w:color="auto" w:fill="auto"/>
            <w:vAlign w:val="center"/>
            <w:hideMark/>
          </w:tcPr>
          <w:p w14:paraId="5BB0F8B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F423F2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8.4. The Provider is obliged to perform encryption and verification of the Payment Signature of the "“Y.PA.H.E.S.” / E.D.I.S.P." Cash System.</w:t>
            </w:r>
          </w:p>
        </w:tc>
        <w:tc>
          <w:tcPr>
            <w:tcW w:w="925" w:type="dxa"/>
            <w:tcBorders>
              <w:top w:val="nil"/>
              <w:left w:val="nil"/>
              <w:bottom w:val="single" w:sz="4" w:space="0" w:color="auto"/>
              <w:right w:val="single" w:sz="4" w:space="0" w:color="auto"/>
            </w:tcBorders>
            <w:shd w:val="clear" w:color="000000" w:fill="DDEBF7"/>
            <w:vAlign w:val="center"/>
            <w:hideMark/>
          </w:tcPr>
          <w:p w14:paraId="1B7D774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75512B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5BCCED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758542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2A0C5D7"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6193B4D4"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704382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42</w:t>
            </w:r>
          </w:p>
        </w:tc>
        <w:tc>
          <w:tcPr>
            <w:tcW w:w="1715" w:type="dxa"/>
            <w:tcBorders>
              <w:top w:val="nil"/>
              <w:left w:val="nil"/>
              <w:bottom w:val="single" w:sz="4" w:space="0" w:color="auto"/>
              <w:right w:val="single" w:sz="4" w:space="0" w:color="auto"/>
            </w:tcBorders>
            <w:shd w:val="clear" w:color="auto" w:fill="auto"/>
            <w:vAlign w:val="center"/>
            <w:hideMark/>
          </w:tcPr>
          <w:p w14:paraId="47E9DA1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160CCF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8.5. The Provider is obliged to transmit the "“Y.PA.H.E.S.” / E.D.I.S.P." Cash System Payment Signature (Provider’s Signature) to the Cash System of the User of Payment Services separately for each request of signature's creation. </w:t>
            </w:r>
          </w:p>
        </w:tc>
        <w:tc>
          <w:tcPr>
            <w:tcW w:w="925" w:type="dxa"/>
            <w:tcBorders>
              <w:top w:val="nil"/>
              <w:left w:val="nil"/>
              <w:bottom w:val="single" w:sz="4" w:space="0" w:color="auto"/>
              <w:right w:val="single" w:sz="4" w:space="0" w:color="auto"/>
            </w:tcBorders>
            <w:shd w:val="clear" w:color="000000" w:fill="DDEBF7"/>
            <w:vAlign w:val="center"/>
            <w:hideMark/>
          </w:tcPr>
          <w:p w14:paraId="29A32DE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425474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52CE78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6BC0E3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677A802A"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61E4BE2B"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A8D269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43</w:t>
            </w:r>
          </w:p>
        </w:tc>
        <w:tc>
          <w:tcPr>
            <w:tcW w:w="1715" w:type="dxa"/>
            <w:tcBorders>
              <w:top w:val="nil"/>
              <w:left w:val="nil"/>
              <w:bottom w:val="single" w:sz="4" w:space="0" w:color="auto"/>
              <w:right w:val="single" w:sz="4" w:space="0" w:color="auto"/>
            </w:tcBorders>
            <w:shd w:val="clear" w:color="auto" w:fill="auto"/>
            <w:vAlign w:val="center"/>
            <w:hideMark/>
          </w:tcPr>
          <w:p w14:paraId="140E7F8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B3FC7B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8.6. The Provider is obliged to record and allow duration of the Provider's Signature up to sixty (60) hours for payment transaction requests of Users of Payment Services and up to two (2) hours for payment transaction requests of Users of Payment Services operating in the catering industry.</w:t>
            </w:r>
          </w:p>
        </w:tc>
        <w:tc>
          <w:tcPr>
            <w:tcW w:w="925" w:type="dxa"/>
            <w:tcBorders>
              <w:top w:val="nil"/>
              <w:left w:val="nil"/>
              <w:bottom w:val="single" w:sz="4" w:space="0" w:color="auto"/>
              <w:right w:val="single" w:sz="4" w:space="0" w:color="auto"/>
            </w:tcBorders>
            <w:shd w:val="clear" w:color="000000" w:fill="DDEBF7"/>
            <w:vAlign w:val="center"/>
            <w:hideMark/>
          </w:tcPr>
          <w:p w14:paraId="28DEB27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271756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55B1685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1FC20A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07E8C9B"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5FF26621"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F6069B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44</w:t>
            </w:r>
          </w:p>
        </w:tc>
        <w:tc>
          <w:tcPr>
            <w:tcW w:w="1715" w:type="dxa"/>
            <w:tcBorders>
              <w:top w:val="nil"/>
              <w:left w:val="nil"/>
              <w:bottom w:val="single" w:sz="4" w:space="0" w:color="auto"/>
              <w:right w:val="single" w:sz="4" w:space="0" w:color="auto"/>
            </w:tcBorders>
            <w:shd w:val="clear" w:color="auto" w:fill="auto"/>
            <w:vAlign w:val="center"/>
            <w:hideMark/>
          </w:tcPr>
          <w:p w14:paraId="50C543A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AC0A519"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8.7. The Provider is obliged to accept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Document Types with the "“Y.PA.H.E.S.” / E.D.I.S.P." Cash System Payment Signature (Provider's Signature) and the Unique Payment Identity.</w:t>
            </w:r>
          </w:p>
        </w:tc>
        <w:tc>
          <w:tcPr>
            <w:tcW w:w="925" w:type="dxa"/>
            <w:tcBorders>
              <w:top w:val="nil"/>
              <w:left w:val="nil"/>
              <w:bottom w:val="single" w:sz="4" w:space="0" w:color="auto"/>
              <w:right w:val="single" w:sz="4" w:space="0" w:color="auto"/>
            </w:tcBorders>
            <w:shd w:val="clear" w:color="000000" w:fill="DDEBF7"/>
            <w:vAlign w:val="center"/>
            <w:hideMark/>
          </w:tcPr>
          <w:p w14:paraId="0B8A849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C0DDD9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1AFAB4F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EFC0ED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6D1212C"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597F159D"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144F55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45</w:t>
            </w:r>
          </w:p>
        </w:tc>
        <w:tc>
          <w:tcPr>
            <w:tcW w:w="1715" w:type="dxa"/>
            <w:tcBorders>
              <w:top w:val="nil"/>
              <w:left w:val="nil"/>
              <w:bottom w:val="single" w:sz="4" w:space="0" w:color="auto"/>
              <w:right w:val="single" w:sz="4" w:space="0" w:color="auto"/>
            </w:tcBorders>
            <w:shd w:val="clear" w:color="auto" w:fill="auto"/>
            <w:vAlign w:val="center"/>
            <w:hideMark/>
          </w:tcPr>
          <w:p w14:paraId="7D845C3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9D2E64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8.8. The Provider's interconnection with the "“Y.PA.H.E.S.” / E.D.I.S.P." Cash Systems, Means of Payment (EFT/POS) and IAPR for the transmission of the specified data is carried out in real time.</w:t>
            </w:r>
          </w:p>
        </w:tc>
        <w:tc>
          <w:tcPr>
            <w:tcW w:w="925" w:type="dxa"/>
            <w:tcBorders>
              <w:top w:val="nil"/>
              <w:left w:val="nil"/>
              <w:bottom w:val="single" w:sz="4" w:space="0" w:color="auto"/>
              <w:right w:val="single" w:sz="4" w:space="0" w:color="auto"/>
            </w:tcBorders>
            <w:shd w:val="clear" w:color="000000" w:fill="DDEBF7"/>
            <w:vAlign w:val="center"/>
            <w:hideMark/>
          </w:tcPr>
          <w:p w14:paraId="0AD8F71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08C7AF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6855F30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4592E3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C4E78DA"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6387C9D5"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B6D20B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46</w:t>
            </w:r>
          </w:p>
        </w:tc>
        <w:tc>
          <w:tcPr>
            <w:tcW w:w="1715" w:type="dxa"/>
            <w:tcBorders>
              <w:top w:val="nil"/>
              <w:left w:val="nil"/>
              <w:bottom w:val="single" w:sz="4" w:space="0" w:color="auto"/>
              <w:right w:val="single" w:sz="4" w:space="0" w:color="auto"/>
            </w:tcBorders>
            <w:shd w:val="clear" w:color="auto" w:fill="auto"/>
            <w:vAlign w:val="center"/>
            <w:hideMark/>
          </w:tcPr>
          <w:p w14:paraId="248E0AC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83FD0D9"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8.9. The Provider is obliged to record the algebraic sum of the transactions selected to be carried out via Means of Payment (EFT/POS) by Users of Payment Services regardless of their number and not to allow this to exceed the total amount of the documents related to these transactions.</w:t>
            </w:r>
          </w:p>
        </w:tc>
        <w:tc>
          <w:tcPr>
            <w:tcW w:w="925" w:type="dxa"/>
            <w:tcBorders>
              <w:top w:val="nil"/>
              <w:left w:val="nil"/>
              <w:bottom w:val="single" w:sz="4" w:space="0" w:color="auto"/>
              <w:right w:val="single" w:sz="4" w:space="0" w:color="auto"/>
            </w:tcBorders>
            <w:shd w:val="clear" w:color="000000" w:fill="DDEBF7"/>
            <w:vAlign w:val="center"/>
            <w:hideMark/>
          </w:tcPr>
          <w:p w14:paraId="433C184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37B668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60193EF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391F96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521AA70F"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25A73B0D" w14:textId="77777777" w:rsidTr="00D678A7">
        <w:trPr>
          <w:trHeight w:val="12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B56D2F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47</w:t>
            </w:r>
          </w:p>
        </w:tc>
        <w:tc>
          <w:tcPr>
            <w:tcW w:w="1715" w:type="dxa"/>
            <w:tcBorders>
              <w:top w:val="nil"/>
              <w:left w:val="nil"/>
              <w:bottom w:val="single" w:sz="4" w:space="0" w:color="auto"/>
              <w:right w:val="single" w:sz="4" w:space="0" w:color="auto"/>
            </w:tcBorders>
            <w:shd w:val="clear" w:color="auto" w:fill="auto"/>
            <w:vAlign w:val="center"/>
            <w:hideMark/>
          </w:tcPr>
          <w:p w14:paraId="7CE8E8E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E3B102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8.10. The Provider is obliged to record the documents under issue, that the payment service user has not transmitted, and to transmit their data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in the event that the "“Y.PA.H.E.S.” / E.D.I.S.P."  Payment Signatures (Provider's Signatures) were not associated by the "“Y.PA.H.E.S.” / E.D.I.S.P." Cash System with corresponding documents and Unique Payment Identities, within the time limit specified in each case in accordance with Decision No. A.1155/2023 of the Governor of the IAPR. The documents under issue of this case, for their transmission to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are marked as "Under Issue". </w:t>
            </w:r>
          </w:p>
        </w:tc>
        <w:tc>
          <w:tcPr>
            <w:tcW w:w="925" w:type="dxa"/>
            <w:tcBorders>
              <w:top w:val="nil"/>
              <w:left w:val="nil"/>
              <w:bottom w:val="single" w:sz="4" w:space="0" w:color="auto"/>
              <w:right w:val="single" w:sz="4" w:space="0" w:color="auto"/>
            </w:tcBorders>
            <w:shd w:val="clear" w:color="000000" w:fill="DDEBF7"/>
            <w:vAlign w:val="center"/>
            <w:hideMark/>
          </w:tcPr>
          <w:p w14:paraId="0AE6765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657A65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2B9598F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51B415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1A72E48"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38E0CDD8"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B9132B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48</w:t>
            </w:r>
          </w:p>
        </w:tc>
        <w:tc>
          <w:tcPr>
            <w:tcW w:w="1715" w:type="dxa"/>
            <w:tcBorders>
              <w:top w:val="nil"/>
              <w:left w:val="nil"/>
              <w:bottom w:val="single" w:sz="4" w:space="0" w:color="auto"/>
              <w:right w:val="single" w:sz="4" w:space="0" w:color="auto"/>
            </w:tcBorders>
            <w:shd w:val="clear" w:color="auto" w:fill="auto"/>
            <w:vAlign w:val="center"/>
            <w:hideMark/>
          </w:tcPr>
          <w:p w14:paraId="2C53A43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FD0D1D7" w14:textId="7A034F26"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8.11. The Provider is obliged to comply with the Basic Interconnection Rule of decision under reference A.1155/2023 of the Governor of IAPR, as well as the other obligations arising from the provisions therein and corresponding to its field of responsibility.</w:t>
            </w:r>
          </w:p>
        </w:tc>
        <w:tc>
          <w:tcPr>
            <w:tcW w:w="925" w:type="dxa"/>
            <w:tcBorders>
              <w:top w:val="nil"/>
              <w:left w:val="nil"/>
              <w:bottom w:val="single" w:sz="4" w:space="0" w:color="auto"/>
              <w:right w:val="single" w:sz="4" w:space="0" w:color="auto"/>
            </w:tcBorders>
            <w:shd w:val="clear" w:color="000000" w:fill="DDEBF7"/>
            <w:vAlign w:val="center"/>
            <w:hideMark/>
          </w:tcPr>
          <w:p w14:paraId="290EED7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CB999B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374B025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3A6471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D01CB4B"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34041120" w14:textId="77777777" w:rsidTr="00D678A7">
        <w:trPr>
          <w:trHeight w:val="382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345A9E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49</w:t>
            </w:r>
          </w:p>
        </w:tc>
        <w:tc>
          <w:tcPr>
            <w:tcW w:w="1715" w:type="dxa"/>
            <w:tcBorders>
              <w:top w:val="nil"/>
              <w:left w:val="nil"/>
              <w:bottom w:val="single" w:sz="4" w:space="0" w:color="auto"/>
              <w:right w:val="single" w:sz="4" w:space="0" w:color="auto"/>
            </w:tcBorders>
            <w:shd w:val="clear" w:color="auto" w:fill="auto"/>
            <w:vAlign w:val="center"/>
            <w:hideMark/>
          </w:tcPr>
          <w:p w14:paraId="4293622D"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Article 9 </w:t>
            </w:r>
            <w:r w:rsidRPr="00A240A3">
              <w:rPr>
                <w:rFonts w:ascii="Calibri" w:eastAsia="Times New Roman" w:hAnsi="Calibri" w:cs="Calibri"/>
                <w:sz w:val="20"/>
                <w:szCs w:val="20"/>
                <w:lang w:val="en-US" w:eastAsia="el-GR"/>
              </w:rPr>
              <w:br/>
              <w:t>Content of Document Type 8.6 CATERING ORDER FORM</w:t>
            </w:r>
          </w:p>
        </w:tc>
        <w:tc>
          <w:tcPr>
            <w:tcW w:w="7157" w:type="dxa"/>
            <w:tcBorders>
              <w:top w:val="nil"/>
              <w:left w:val="nil"/>
              <w:bottom w:val="single" w:sz="4" w:space="0" w:color="auto"/>
              <w:right w:val="single" w:sz="4" w:space="0" w:color="auto"/>
            </w:tcBorders>
            <w:shd w:val="clear" w:color="auto" w:fill="auto"/>
            <w:vAlign w:val="center"/>
            <w:hideMark/>
          </w:tcPr>
          <w:p w14:paraId="2B2A23BA"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9.1. 1. Document Type 8.6 Catering Order Form contains data for managing “open tables” during the execution of each order by entities operating in the catering sector and using the services of an Electronic Data Issuance Service Provider. This type of document must contain the following fields:</w:t>
            </w:r>
            <w:r w:rsidRPr="00A240A3">
              <w:rPr>
                <w:rFonts w:ascii="Calibri" w:eastAsia="Times New Roman" w:hAnsi="Calibri" w:cs="Calibri"/>
                <w:sz w:val="20"/>
                <w:szCs w:val="20"/>
                <w:lang w:val="en-US" w:eastAsia="el-GR"/>
              </w:rPr>
              <w:br/>
              <w:t>a) Issuer’s Tax Identification Number</w:t>
            </w:r>
            <w:r w:rsidRPr="00A240A3">
              <w:rPr>
                <w:rFonts w:ascii="Calibri" w:eastAsia="Times New Roman" w:hAnsi="Calibri" w:cs="Calibri"/>
                <w:sz w:val="20"/>
                <w:szCs w:val="20"/>
                <w:lang w:val="en-US" w:eastAsia="el-GR"/>
              </w:rPr>
              <w:br/>
              <w:t>b) Issuer’s Name/Company Name</w:t>
            </w:r>
            <w:r w:rsidRPr="00A240A3">
              <w:rPr>
                <w:rFonts w:ascii="Calibri" w:eastAsia="Times New Roman" w:hAnsi="Calibri" w:cs="Calibri"/>
                <w:sz w:val="20"/>
                <w:szCs w:val="20"/>
                <w:lang w:val="en-US" w:eastAsia="el-GR"/>
              </w:rPr>
              <w:br/>
              <w:t>c) Issuer’s Business Address</w:t>
            </w:r>
            <w:r w:rsidRPr="00A240A3">
              <w:rPr>
                <w:rFonts w:ascii="Calibri" w:eastAsia="Times New Roman" w:hAnsi="Calibri" w:cs="Calibri"/>
                <w:sz w:val="20"/>
                <w:szCs w:val="20"/>
                <w:lang w:val="en-US" w:eastAsia="el-GR"/>
              </w:rPr>
              <w:br/>
              <w:t>d) Document Type “8.6 Catering Order Form”</w:t>
            </w:r>
            <w:r w:rsidRPr="00A240A3">
              <w:rPr>
                <w:rFonts w:ascii="Calibri" w:eastAsia="Times New Roman" w:hAnsi="Calibri" w:cs="Calibri"/>
                <w:sz w:val="20"/>
                <w:szCs w:val="20"/>
                <w:lang w:val="en-US" w:eastAsia="el-GR"/>
              </w:rPr>
              <w:br/>
              <w:t>e) Document Series and Number</w:t>
            </w:r>
            <w:r w:rsidRPr="00A240A3">
              <w:rPr>
                <w:rFonts w:ascii="Calibri" w:eastAsia="Times New Roman" w:hAnsi="Calibri" w:cs="Calibri"/>
                <w:sz w:val="20"/>
                <w:szCs w:val="20"/>
                <w:lang w:val="en-US" w:eastAsia="el-GR"/>
              </w:rPr>
              <w:br/>
              <w:t>f) Date and time of issue</w:t>
            </w:r>
            <w:r w:rsidRPr="00A240A3">
              <w:rPr>
                <w:rFonts w:ascii="Calibri" w:eastAsia="Times New Roman" w:hAnsi="Calibri" w:cs="Calibri"/>
                <w:sz w:val="20"/>
                <w:szCs w:val="20"/>
                <w:lang w:val="en-US" w:eastAsia="el-GR"/>
              </w:rPr>
              <w:br/>
              <w:t>g) Type</w:t>
            </w:r>
            <w:r w:rsidRPr="00A240A3">
              <w:rPr>
                <w:rFonts w:ascii="Calibri" w:eastAsia="Times New Roman" w:hAnsi="Calibri" w:cs="Calibri"/>
                <w:sz w:val="20"/>
                <w:szCs w:val="20"/>
                <w:lang w:val="en-US" w:eastAsia="el-GR"/>
              </w:rPr>
              <w:br/>
              <w:t>h) Quantity</w:t>
            </w:r>
            <w:r w:rsidRPr="00A240A3">
              <w:rPr>
                <w:rFonts w:ascii="Calibri" w:eastAsia="Times New Roman" w:hAnsi="Calibri" w:cs="Calibri"/>
                <w:sz w:val="20"/>
                <w:szCs w:val="20"/>
                <w:lang w:val="en-US" w:eastAsia="el-GR"/>
              </w:rPr>
              <w:br/>
            </w:r>
            <w:proofErr w:type="spellStart"/>
            <w:r w:rsidRPr="00A240A3">
              <w:rPr>
                <w:rFonts w:ascii="Calibri" w:eastAsia="Times New Roman" w:hAnsi="Calibri" w:cs="Calibri"/>
                <w:sz w:val="20"/>
                <w:szCs w:val="20"/>
                <w:lang w:val="en-US" w:eastAsia="el-GR"/>
              </w:rPr>
              <w:t>i</w:t>
            </w:r>
            <w:proofErr w:type="spellEnd"/>
            <w:r w:rsidRPr="00A240A3">
              <w:rPr>
                <w:rFonts w:ascii="Calibri" w:eastAsia="Times New Roman" w:hAnsi="Calibri" w:cs="Calibri"/>
                <w:sz w:val="20"/>
                <w:szCs w:val="20"/>
                <w:lang w:val="en-US" w:eastAsia="el-GR"/>
              </w:rPr>
              <w:t>) Net Values per VAT rate</w:t>
            </w:r>
            <w:r w:rsidRPr="00A240A3">
              <w:rPr>
                <w:rFonts w:ascii="Calibri" w:eastAsia="Times New Roman" w:hAnsi="Calibri" w:cs="Calibri"/>
                <w:sz w:val="20"/>
                <w:szCs w:val="20"/>
                <w:lang w:val="en-US" w:eastAsia="el-GR"/>
              </w:rPr>
              <w:br/>
              <w:t>j) VAT Amounts per VAT rate</w:t>
            </w:r>
            <w:r w:rsidRPr="00A240A3">
              <w:rPr>
                <w:rFonts w:ascii="Calibri" w:eastAsia="Times New Roman" w:hAnsi="Calibri" w:cs="Calibri"/>
                <w:sz w:val="20"/>
                <w:szCs w:val="20"/>
                <w:lang w:val="en-US" w:eastAsia="el-GR"/>
              </w:rPr>
              <w:br/>
              <w:t>k) Table No.</w:t>
            </w:r>
            <w:r w:rsidRPr="00A240A3">
              <w:rPr>
                <w:rFonts w:ascii="Calibri" w:eastAsia="Times New Roman" w:hAnsi="Calibri" w:cs="Calibri"/>
                <w:sz w:val="20"/>
                <w:szCs w:val="20"/>
                <w:lang w:val="en-US" w:eastAsia="el-GR"/>
              </w:rPr>
              <w:br/>
              <w:t>l) The total amount of the transaction</w:t>
            </w:r>
          </w:p>
        </w:tc>
        <w:tc>
          <w:tcPr>
            <w:tcW w:w="925" w:type="dxa"/>
            <w:tcBorders>
              <w:top w:val="nil"/>
              <w:left w:val="nil"/>
              <w:bottom w:val="single" w:sz="4" w:space="0" w:color="auto"/>
              <w:right w:val="single" w:sz="4" w:space="0" w:color="auto"/>
            </w:tcBorders>
            <w:shd w:val="clear" w:color="000000" w:fill="DDEBF7"/>
            <w:vAlign w:val="center"/>
            <w:hideMark/>
          </w:tcPr>
          <w:p w14:paraId="0AA9661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FBD8FA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63D3F6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6B639A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7CF3A81"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0B277AA1"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B11BD3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50</w:t>
            </w:r>
          </w:p>
        </w:tc>
        <w:tc>
          <w:tcPr>
            <w:tcW w:w="1715" w:type="dxa"/>
            <w:tcBorders>
              <w:top w:val="nil"/>
              <w:left w:val="nil"/>
              <w:bottom w:val="single" w:sz="4" w:space="0" w:color="auto"/>
              <w:right w:val="single" w:sz="4" w:space="0" w:color="auto"/>
            </w:tcBorders>
            <w:shd w:val="clear" w:color="auto" w:fill="auto"/>
            <w:vAlign w:val="center"/>
            <w:hideMark/>
          </w:tcPr>
          <w:p w14:paraId="129395A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2E02E5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9.2. When printing the Catering Order Form, the total amount of either the current service or the previous services (from transfer) is not printed. The Catering Order Form must include the following wording "THE PRESENT DOCUMENT IS ISSUED ONLY FOR INFORMATION PURPOSES AND DOES NOT STAND FOR A VALID TAX RECEIPT/INVOICE".</w:t>
            </w:r>
          </w:p>
        </w:tc>
        <w:tc>
          <w:tcPr>
            <w:tcW w:w="925" w:type="dxa"/>
            <w:tcBorders>
              <w:top w:val="nil"/>
              <w:left w:val="nil"/>
              <w:bottom w:val="single" w:sz="4" w:space="0" w:color="auto"/>
              <w:right w:val="single" w:sz="4" w:space="0" w:color="auto"/>
            </w:tcBorders>
            <w:shd w:val="clear" w:color="000000" w:fill="DDEBF7"/>
            <w:vAlign w:val="center"/>
            <w:hideMark/>
          </w:tcPr>
          <w:p w14:paraId="2D5F565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D80160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75DAF7B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C5F1A0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7755415"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0750862D"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498338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51</w:t>
            </w:r>
          </w:p>
        </w:tc>
        <w:tc>
          <w:tcPr>
            <w:tcW w:w="1715" w:type="dxa"/>
            <w:tcBorders>
              <w:top w:val="nil"/>
              <w:left w:val="nil"/>
              <w:bottom w:val="single" w:sz="4" w:space="0" w:color="auto"/>
              <w:right w:val="single" w:sz="4" w:space="0" w:color="auto"/>
            </w:tcBorders>
            <w:shd w:val="clear" w:color="auto" w:fill="auto"/>
            <w:vAlign w:val="center"/>
            <w:hideMark/>
          </w:tcPr>
          <w:p w14:paraId="5DFD8EF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3639504"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9.3. The Catering Order Form must contain a two-dimensional barcode (QR code). Scanning the Catering Order Form with a QR code scanner leads to the Provider's page.</w:t>
            </w:r>
          </w:p>
        </w:tc>
        <w:tc>
          <w:tcPr>
            <w:tcW w:w="925" w:type="dxa"/>
            <w:tcBorders>
              <w:top w:val="nil"/>
              <w:left w:val="nil"/>
              <w:bottom w:val="single" w:sz="4" w:space="0" w:color="auto"/>
              <w:right w:val="single" w:sz="4" w:space="0" w:color="auto"/>
            </w:tcBorders>
            <w:shd w:val="clear" w:color="000000" w:fill="DDEBF7"/>
            <w:vAlign w:val="center"/>
            <w:hideMark/>
          </w:tcPr>
          <w:p w14:paraId="7E58A61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9E9F42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0F47CCB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086495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AB7C6C0"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64A84F3F"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738185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52</w:t>
            </w:r>
          </w:p>
        </w:tc>
        <w:tc>
          <w:tcPr>
            <w:tcW w:w="1715" w:type="dxa"/>
            <w:tcBorders>
              <w:top w:val="nil"/>
              <w:left w:val="nil"/>
              <w:bottom w:val="single" w:sz="4" w:space="0" w:color="auto"/>
              <w:right w:val="single" w:sz="4" w:space="0" w:color="auto"/>
            </w:tcBorders>
            <w:shd w:val="clear" w:color="auto" w:fill="auto"/>
            <w:vAlign w:val="center"/>
            <w:hideMark/>
          </w:tcPr>
          <w:p w14:paraId="7E0A404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A4FF379"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9.4. The fields of par. 1 and 3 must be included in the issuance, printing and scanning of each Catering Order Form, subject to par. 2.</w:t>
            </w:r>
          </w:p>
        </w:tc>
        <w:tc>
          <w:tcPr>
            <w:tcW w:w="925" w:type="dxa"/>
            <w:tcBorders>
              <w:top w:val="nil"/>
              <w:left w:val="nil"/>
              <w:bottom w:val="single" w:sz="4" w:space="0" w:color="auto"/>
              <w:right w:val="single" w:sz="4" w:space="0" w:color="auto"/>
            </w:tcBorders>
            <w:shd w:val="clear" w:color="000000" w:fill="DDEBF7"/>
            <w:vAlign w:val="center"/>
            <w:hideMark/>
          </w:tcPr>
          <w:p w14:paraId="183C5E8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F02EDE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0E6EA69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5F9D49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C5E31C7"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36276BDD"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7F5075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53</w:t>
            </w:r>
          </w:p>
        </w:tc>
        <w:tc>
          <w:tcPr>
            <w:tcW w:w="1715" w:type="dxa"/>
            <w:tcBorders>
              <w:top w:val="nil"/>
              <w:left w:val="nil"/>
              <w:bottom w:val="single" w:sz="4" w:space="0" w:color="auto"/>
              <w:right w:val="single" w:sz="4" w:space="0" w:color="auto"/>
            </w:tcBorders>
            <w:shd w:val="clear" w:color="auto" w:fill="auto"/>
            <w:vAlign w:val="center"/>
            <w:hideMark/>
          </w:tcPr>
          <w:p w14:paraId="7E2689A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77D07EB"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9.5. The time of issue shall be clearly visible in bold font.</w:t>
            </w:r>
          </w:p>
        </w:tc>
        <w:tc>
          <w:tcPr>
            <w:tcW w:w="925" w:type="dxa"/>
            <w:tcBorders>
              <w:top w:val="nil"/>
              <w:left w:val="nil"/>
              <w:bottom w:val="single" w:sz="4" w:space="0" w:color="auto"/>
              <w:right w:val="single" w:sz="4" w:space="0" w:color="auto"/>
            </w:tcBorders>
            <w:shd w:val="clear" w:color="000000" w:fill="DDEBF7"/>
            <w:vAlign w:val="center"/>
            <w:hideMark/>
          </w:tcPr>
          <w:p w14:paraId="02A59A4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61BD8A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1553501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8356A6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743F297C"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743E9071"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161D3D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54</w:t>
            </w:r>
          </w:p>
        </w:tc>
        <w:tc>
          <w:tcPr>
            <w:tcW w:w="1715" w:type="dxa"/>
            <w:tcBorders>
              <w:top w:val="nil"/>
              <w:left w:val="nil"/>
              <w:bottom w:val="single" w:sz="4" w:space="0" w:color="auto"/>
              <w:right w:val="single" w:sz="4" w:space="0" w:color="auto"/>
            </w:tcBorders>
            <w:shd w:val="clear" w:color="auto" w:fill="auto"/>
            <w:vAlign w:val="center"/>
            <w:hideMark/>
          </w:tcPr>
          <w:p w14:paraId="41083DF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43EE1C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9.6. The Catering Order Form is not a legal document of value but a special item marked by the Provider and associated with documents of value, namely a Retail Sales Receipt or Retail Credit Receipt for retail debit and credit transactions and an Invoice or Credit Invoice for wholesale debit and credit transactions.</w:t>
            </w:r>
          </w:p>
        </w:tc>
        <w:tc>
          <w:tcPr>
            <w:tcW w:w="925" w:type="dxa"/>
            <w:tcBorders>
              <w:top w:val="nil"/>
              <w:left w:val="nil"/>
              <w:bottom w:val="single" w:sz="4" w:space="0" w:color="auto"/>
              <w:right w:val="single" w:sz="4" w:space="0" w:color="auto"/>
            </w:tcBorders>
            <w:shd w:val="clear" w:color="000000" w:fill="DDEBF7"/>
            <w:vAlign w:val="center"/>
            <w:hideMark/>
          </w:tcPr>
          <w:p w14:paraId="2B69A64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F1DCB9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05181DC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93A039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1A7FA6B"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48EB654A"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F383A6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55</w:t>
            </w:r>
          </w:p>
        </w:tc>
        <w:tc>
          <w:tcPr>
            <w:tcW w:w="1715" w:type="dxa"/>
            <w:tcBorders>
              <w:top w:val="nil"/>
              <w:left w:val="nil"/>
              <w:bottom w:val="single" w:sz="4" w:space="0" w:color="auto"/>
              <w:right w:val="single" w:sz="4" w:space="0" w:color="auto"/>
            </w:tcBorders>
            <w:shd w:val="clear" w:color="auto" w:fill="auto"/>
            <w:vAlign w:val="center"/>
            <w:hideMark/>
          </w:tcPr>
          <w:p w14:paraId="4B249AD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65510C2"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9.7. Catering Order Forms are mandatorily transmitted to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digital platform and receive an URN (MARK). The correlation of Catering Order Forms with the relevant revenue documents is carried out within twenty-four (24) hours of their issuance. Otherwise, the Provider is obliged to interrupt the authentication process and transmission of all data of the obligated entity until the date on which the correlation of the open order forms is completed. </w:t>
            </w:r>
          </w:p>
        </w:tc>
        <w:tc>
          <w:tcPr>
            <w:tcW w:w="925" w:type="dxa"/>
            <w:tcBorders>
              <w:top w:val="nil"/>
              <w:left w:val="nil"/>
              <w:bottom w:val="single" w:sz="4" w:space="0" w:color="auto"/>
              <w:right w:val="single" w:sz="4" w:space="0" w:color="auto"/>
            </w:tcBorders>
            <w:shd w:val="clear" w:color="000000" w:fill="DDEBF7"/>
            <w:vAlign w:val="center"/>
            <w:hideMark/>
          </w:tcPr>
          <w:p w14:paraId="1870B67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7150B3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3D5AF20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502C15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5C1050C"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01673B29"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999B01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56</w:t>
            </w:r>
          </w:p>
        </w:tc>
        <w:tc>
          <w:tcPr>
            <w:tcW w:w="1715" w:type="dxa"/>
            <w:tcBorders>
              <w:top w:val="nil"/>
              <w:left w:val="nil"/>
              <w:bottom w:val="single" w:sz="4" w:space="0" w:color="auto"/>
              <w:right w:val="single" w:sz="4" w:space="0" w:color="auto"/>
            </w:tcBorders>
            <w:shd w:val="clear" w:color="auto" w:fill="auto"/>
            <w:vAlign w:val="center"/>
            <w:hideMark/>
          </w:tcPr>
          <w:p w14:paraId="6805EF0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6B08723"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9.8. In the event of loss of interconnection, the provisions of article 7 shall apply.</w:t>
            </w:r>
          </w:p>
        </w:tc>
        <w:tc>
          <w:tcPr>
            <w:tcW w:w="925" w:type="dxa"/>
            <w:tcBorders>
              <w:top w:val="nil"/>
              <w:left w:val="nil"/>
              <w:bottom w:val="single" w:sz="4" w:space="0" w:color="auto"/>
              <w:right w:val="single" w:sz="4" w:space="0" w:color="auto"/>
            </w:tcBorders>
            <w:shd w:val="clear" w:color="000000" w:fill="DDEBF7"/>
            <w:vAlign w:val="center"/>
            <w:hideMark/>
          </w:tcPr>
          <w:p w14:paraId="7D3D132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B144C9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4CAB76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FEA20D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43FAA3B5"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5AB0347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05556A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57</w:t>
            </w:r>
          </w:p>
        </w:tc>
        <w:tc>
          <w:tcPr>
            <w:tcW w:w="1715" w:type="dxa"/>
            <w:tcBorders>
              <w:top w:val="nil"/>
              <w:left w:val="nil"/>
              <w:bottom w:val="single" w:sz="4" w:space="0" w:color="auto"/>
              <w:right w:val="single" w:sz="4" w:space="0" w:color="auto"/>
            </w:tcBorders>
            <w:shd w:val="clear" w:color="auto" w:fill="auto"/>
            <w:vAlign w:val="center"/>
            <w:hideMark/>
          </w:tcPr>
          <w:p w14:paraId="14EA3EC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97826B2"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9.9. The business analysis and technical documentation of Document Type 8.6 Catering Order Form are posted on the IAPR website (www.aade.gr/mydata).</w:t>
            </w:r>
          </w:p>
        </w:tc>
        <w:tc>
          <w:tcPr>
            <w:tcW w:w="925" w:type="dxa"/>
            <w:tcBorders>
              <w:top w:val="nil"/>
              <w:left w:val="nil"/>
              <w:bottom w:val="single" w:sz="4" w:space="0" w:color="auto"/>
              <w:right w:val="single" w:sz="4" w:space="0" w:color="auto"/>
            </w:tcBorders>
            <w:shd w:val="clear" w:color="000000" w:fill="DDEBF7"/>
            <w:vAlign w:val="center"/>
            <w:hideMark/>
          </w:tcPr>
          <w:p w14:paraId="11716DE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7921ED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BB61BD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456B2A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D100583"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6A0F5E41" w14:textId="77777777" w:rsidTr="00D678A7">
        <w:trPr>
          <w:trHeight w:val="357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4D9130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58_1</w:t>
            </w:r>
          </w:p>
        </w:tc>
        <w:tc>
          <w:tcPr>
            <w:tcW w:w="1715" w:type="dxa"/>
            <w:tcBorders>
              <w:top w:val="nil"/>
              <w:left w:val="nil"/>
              <w:bottom w:val="single" w:sz="4" w:space="0" w:color="auto"/>
              <w:right w:val="single" w:sz="4" w:space="0" w:color="auto"/>
            </w:tcBorders>
            <w:shd w:val="clear" w:color="auto" w:fill="auto"/>
            <w:vAlign w:val="center"/>
            <w:hideMark/>
          </w:tcPr>
          <w:p w14:paraId="06BB683C"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ANNEX </w:t>
            </w:r>
            <w:r w:rsidRPr="00A240A3">
              <w:rPr>
                <w:rFonts w:ascii="Calibri" w:eastAsia="Times New Roman" w:hAnsi="Calibri" w:cs="Calibri"/>
                <w:sz w:val="20"/>
                <w:szCs w:val="20"/>
                <w:lang w:eastAsia="el-GR"/>
              </w:rPr>
              <w:t>Α</w:t>
            </w:r>
            <w:r w:rsidRPr="00A240A3">
              <w:rPr>
                <w:rFonts w:ascii="Calibri" w:eastAsia="Times New Roman" w:hAnsi="Calibri" w:cs="Calibri"/>
                <w:sz w:val="20"/>
                <w:szCs w:val="20"/>
                <w:lang w:val="en-US" w:eastAsia="el-GR"/>
              </w:rPr>
              <w:t>: SUITABILITY LICENSE FILE – SUBMITTED DOCUMENTS</w:t>
            </w:r>
          </w:p>
        </w:tc>
        <w:tc>
          <w:tcPr>
            <w:tcW w:w="7157" w:type="dxa"/>
            <w:tcBorders>
              <w:top w:val="nil"/>
              <w:left w:val="nil"/>
              <w:bottom w:val="single" w:sz="4" w:space="0" w:color="auto"/>
              <w:right w:val="single" w:sz="4" w:space="0" w:color="auto"/>
            </w:tcBorders>
            <w:shd w:val="clear" w:color="auto" w:fill="auto"/>
            <w:vAlign w:val="center"/>
            <w:hideMark/>
          </w:tcPr>
          <w:p w14:paraId="5E9A68DD"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eastAsia="el-GR"/>
              </w:rPr>
              <w:t>Α</w:t>
            </w:r>
            <w:r w:rsidRPr="00A240A3">
              <w:rPr>
                <w:rFonts w:ascii="Calibri" w:eastAsia="Times New Roman" w:hAnsi="Calibri" w:cs="Calibri"/>
                <w:sz w:val="20"/>
                <w:szCs w:val="20"/>
                <w:lang w:val="en-US" w:eastAsia="el-GR"/>
              </w:rPr>
              <w:t>.1. Suitability license supporting documents                                                                                                                                                                                  In order to obtain an "“Y.PA.H.E.S.” / E.D.I.S.P." suitability license, the interested entity submits the following supporting documents:</w:t>
            </w:r>
            <w:r w:rsidRPr="00A240A3">
              <w:rPr>
                <w:rFonts w:ascii="Calibri" w:eastAsia="Times New Roman" w:hAnsi="Calibri" w:cs="Calibri"/>
                <w:sz w:val="20"/>
                <w:szCs w:val="20"/>
                <w:lang w:val="en-US" w:eastAsia="el-GR"/>
              </w:rPr>
              <w:br/>
              <w:t>a) Articles of Association of the entity applying for the "“Y.PA.H.E.S.” / E.D.I.S.P." suitability license.</w:t>
            </w:r>
            <w:r w:rsidRPr="00A240A3">
              <w:rPr>
                <w:rFonts w:ascii="Calibri" w:eastAsia="Times New Roman" w:hAnsi="Calibri" w:cs="Calibri"/>
                <w:sz w:val="20"/>
                <w:szCs w:val="20"/>
                <w:lang w:val="en-US" w:eastAsia="el-GR"/>
              </w:rPr>
              <w:br/>
              <w:t>b) ISO-27001 security certificate or another equivalent certificate at the discretion of the Committee with regard to the maintenance of digital data and authentication of documents.</w:t>
            </w:r>
            <w:r w:rsidRPr="00A240A3">
              <w:rPr>
                <w:rFonts w:ascii="Calibri" w:eastAsia="Times New Roman" w:hAnsi="Calibri" w:cs="Calibri"/>
                <w:sz w:val="20"/>
                <w:szCs w:val="20"/>
                <w:lang w:val="en-US" w:eastAsia="el-GR"/>
              </w:rPr>
              <w:br/>
              <w:t>c) Brief description of the software features.</w:t>
            </w:r>
            <w:r w:rsidRPr="00A240A3">
              <w:rPr>
                <w:rFonts w:ascii="Calibri" w:eastAsia="Times New Roman" w:hAnsi="Calibri" w:cs="Calibri"/>
                <w:sz w:val="20"/>
                <w:szCs w:val="20"/>
                <w:lang w:val="en-US" w:eastAsia="el-GR"/>
              </w:rPr>
              <w:br/>
              <w:t>d) Tax clearance certificate.</w:t>
            </w:r>
            <w:r w:rsidRPr="00A240A3">
              <w:rPr>
                <w:rFonts w:ascii="Calibri" w:eastAsia="Times New Roman" w:hAnsi="Calibri" w:cs="Calibri"/>
                <w:sz w:val="20"/>
                <w:szCs w:val="20"/>
                <w:lang w:val="en-US" w:eastAsia="el-GR"/>
              </w:rPr>
              <w:br/>
              <w:t>e) Insurance clearance certificate.</w:t>
            </w:r>
            <w:r w:rsidRPr="00A240A3">
              <w:rPr>
                <w:rFonts w:ascii="Calibri" w:eastAsia="Times New Roman" w:hAnsi="Calibri" w:cs="Calibri"/>
                <w:sz w:val="20"/>
                <w:szCs w:val="20"/>
                <w:lang w:val="en-US" w:eastAsia="el-GR"/>
              </w:rPr>
              <w:br/>
              <w:t>f) Certificate of non-filing of bankruptcy petition.</w:t>
            </w:r>
            <w:r w:rsidRPr="00A240A3">
              <w:rPr>
                <w:rFonts w:ascii="Calibri" w:eastAsia="Times New Roman" w:hAnsi="Calibri" w:cs="Calibri"/>
                <w:sz w:val="20"/>
                <w:szCs w:val="20"/>
                <w:lang w:val="en-US" w:eastAsia="el-GR"/>
              </w:rPr>
              <w:br/>
              <w:t>g) Certificate of non-bankruptcy.</w:t>
            </w:r>
            <w:r w:rsidRPr="00A240A3">
              <w:rPr>
                <w:rFonts w:ascii="Calibri" w:eastAsia="Times New Roman" w:hAnsi="Calibri" w:cs="Calibri"/>
                <w:sz w:val="20"/>
                <w:szCs w:val="20"/>
                <w:lang w:val="en-US" w:eastAsia="el-GR"/>
              </w:rPr>
              <w:br/>
              <w:t>h) Certificate of non-liquidation.</w:t>
            </w:r>
            <w:r w:rsidRPr="00A240A3">
              <w:rPr>
                <w:rFonts w:ascii="Calibri" w:eastAsia="Times New Roman" w:hAnsi="Calibri" w:cs="Calibri"/>
                <w:sz w:val="20"/>
                <w:szCs w:val="20"/>
                <w:lang w:val="en-US" w:eastAsia="el-GR"/>
              </w:rPr>
              <w:br/>
            </w:r>
            <w:proofErr w:type="spellStart"/>
            <w:r w:rsidRPr="00A240A3">
              <w:rPr>
                <w:rFonts w:ascii="Calibri" w:eastAsia="Times New Roman" w:hAnsi="Calibri" w:cs="Calibri"/>
                <w:sz w:val="20"/>
                <w:szCs w:val="20"/>
                <w:lang w:val="en-US" w:eastAsia="el-GR"/>
              </w:rPr>
              <w:t>i</w:t>
            </w:r>
            <w:proofErr w:type="spellEnd"/>
            <w:r w:rsidRPr="00A240A3">
              <w:rPr>
                <w:rFonts w:ascii="Calibri" w:eastAsia="Times New Roman" w:hAnsi="Calibri" w:cs="Calibri"/>
                <w:sz w:val="20"/>
                <w:szCs w:val="20"/>
                <w:lang w:val="en-US" w:eastAsia="el-GR"/>
              </w:rPr>
              <w:t>) Description of the tools and procedures for checking the integrity of the content and the authenticity of the origin of the issued data and files.</w:t>
            </w:r>
          </w:p>
        </w:tc>
        <w:tc>
          <w:tcPr>
            <w:tcW w:w="925" w:type="dxa"/>
            <w:tcBorders>
              <w:top w:val="nil"/>
              <w:left w:val="nil"/>
              <w:bottom w:val="single" w:sz="4" w:space="0" w:color="auto"/>
              <w:right w:val="single" w:sz="4" w:space="0" w:color="auto"/>
            </w:tcBorders>
            <w:shd w:val="clear" w:color="000000" w:fill="DDEBF7"/>
            <w:vAlign w:val="center"/>
            <w:hideMark/>
          </w:tcPr>
          <w:p w14:paraId="64B5C06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BA3DCC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859AD9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3643D0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786664D"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2417CF08" w14:textId="77777777" w:rsidTr="00D678A7">
        <w:trPr>
          <w:trHeight w:val="280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A9FCBF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58_2</w:t>
            </w:r>
          </w:p>
        </w:tc>
        <w:tc>
          <w:tcPr>
            <w:tcW w:w="1715" w:type="dxa"/>
            <w:tcBorders>
              <w:top w:val="nil"/>
              <w:left w:val="nil"/>
              <w:bottom w:val="single" w:sz="4" w:space="0" w:color="auto"/>
              <w:right w:val="single" w:sz="4" w:space="0" w:color="auto"/>
            </w:tcBorders>
            <w:shd w:val="clear" w:color="auto" w:fill="auto"/>
            <w:vAlign w:val="center"/>
            <w:hideMark/>
          </w:tcPr>
          <w:p w14:paraId="0F6183B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B072FB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eastAsia="el-GR"/>
              </w:rPr>
              <w:t>Α</w:t>
            </w:r>
            <w:r w:rsidRPr="00A240A3">
              <w:rPr>
                <w:rFonts w:ascii="Calibri" w:eastAsia="Times New Roman" w:hAnsi="Calibri" w:cs="Calibri"/>
                <w:sz w:val="20"/>
                <w:szCs w:val="20"/>
                <w:lang w:val="en-US" w:eastAsia="el-GR"/>
              </w:rPr>
              <w:t>.2 Supporting documents for the renewal of a suitability license</w:t>
            </w:r>
            <w:r w:rsidRPr="00A240A3">
              <w:rPr>
                <w:rFonts w:ascii="Calibri" w:eastAsia="Times New Roman" w:hAnsi="Calibri" w:cs="Calibri"/>
                <w:sz w:val="20"/>
                <w:szCs w:val="20"/>
                <w:lang w:val="en-US" w:eastAsia="el-GR"/>
              </w:rPr>
              <w:br/>
              <w:t>For the renewal of the "“Y.PA.H.E.S.” / E.D.I.S.P." suitability license, the "“Y.PA.H.E.S.” / E.D.I.S.P." entity submits the following supporting documents:</w:t>
            </w:r>
            <w:r w:rsidRPr="00A240A3">
              <w:rPr>
                <w:rFonts w:ascii="Calibri" w:eastAsia="Times New Roman" w:hAnsi="Calibri" w:cs="Calibri"/>
                <w:sz w:val="20"/>
                <w:szCs w:val="20"/>
                <w:lang w:val="en-US" w:eastAsia="el-GR"/>
              </w:rPr>
              <w:br/>
              <w:t>a) Articles of Association of the "“Y.PA.H.E.S.” / E.D.I.S.P." entity at the time of submitting the renewal application</w:t>
            </w:r>
            <w:r w:rsidRPr="00A240A3">
              <w:rPr>
                <w:rFonts w:ascii="Calibri" w:eastAsia="Times New Roman" w:hAnsi="Calibri" w:cs="Calibri"/>
                <w:sz w:val="20"/>
                <w:szCs w:val="20"/>
                <w:lang w:val="en-US" w:eastAsia="el-GR"/>
              </w:rPr>
              <w:br/>
              <w:t>b) ISO-27001 security certificate in force or another equivalent certificate at the discretion of the Committee with regard to the maintenance of digital data and authentication of documents.</w:t>
            </w:r>
            <w:r w:rsidRPr="00A240A3">
              <w:rPr>
                <w:rFonts w:ascii="Calibri" w:eastAsia="Times New Roman" w:hAnsi="Calibri" w:cs="Calibri"/>
                <w:sz w:val="20"/>
                <w:szCs w:val="20"/>
                <w:lang w:val="en-US" w:eastAsia="el-GR"/>
              </w:rPr>
              <w:br/>
              <w:t>c) Tax clearance certificate.</w:t>
            </w:r>
            <w:r w:rsidRPr="00A240A3">
              <w:rPr>
                <w:rFonts w:ascii="Calibri" w:eastAsia="Times New Roman" w:hAnsi="Calibri" w:cs="Calibri"/>
                <w:sz w:val="20"/>
                <w:szCs w:val="20"/>
                <w:lang w:val="en-US" w:eastAsia="el-GR"/>
              </w:rPr>
              <w:br/>
              <w:t>d) Insurance clearance certificate.</w:t>
            </w:r>
            <w:r w:rsidRPr="00A240A3">
              <w:rPr>
                <w:rFonts w:ascii="Calibri" w:eastAsia="Times New Roman" w:hAnsi="Calibri" w:cs="Calibri"/>
                <w:sz w:val="20"/>
                <w:szCs w:val="20"/>
                <w:lang w:val="en-US" w:eastAsia="el-GR"/>
              </w:rPr>
              <w:br/>
              <w:t>e) Certificate of non-filing of a bankruptcy application.</w:t>
            </w:r>
            <w:r w:rsidRPr="00A240A3">
              <w:rPr>
                <w:rFonts w:ascii="Calibri" w:eastAsia="Times New Roman" w:hAnsi="Calibri" w:cs="Calibri"/>
                <w:sz w:val="20"/>
                <w:szCs w:val="20"/>
                <w:lang w:val="en-US" w:eastAsia="el-GR"/>
              </w:rPr>
              <w:br/>
              <w:t>f) Certificate of non-bankruptcy.</w:t>
            </w:r>
            <w:r w:rsidRPr="00A240A3">
              <w:rPr>
                <w:rFonts w:ascii="Calibri" w:eastAsia="Times New Roman" w:hAnsi="Calibri" w:cs="Calibri"/>
                <w:sz w:val="20"/>
                <w:szCs w:val="20"/>
                <w:lang w:val="en-US" w:eastAsia="el-GR"/>
              </w:rPr>
              <w:br/>
              <w:t>g) Certificate of non-liquidation.</w:t>
            </w:r>
          </w:p>
        </w:tc>
        <w:tc>
          <w:tcPr>
            <w:tcW w:w="925" w:type="dxa"/>
            <w:tcBorders>
              <w:top w:val="nil"/>
              <w:left w:val="nil"/>
              <w:bottom w:val="single" w:sz="4" w:space="0" w:color="auto"/>
              <w:right w:val="single" w:sz="4" w:space="0" w:color="auto"/>
            </w:tcBorders>
            <w:shd w:val="clear" w:color="000000" w:fill="DDEBF7"/>
            <w:vAlign w:val="center"/>
            <w:hideMark/>
          </w:tcPr>
          <w:p w14:paraId="4DBF563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05ADBF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8B63D3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258668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14628F15"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7939C055" w14:textId="77777777" w:rsidTr="00B4365F">
        <w:trPr>
          <w:trHeight w:val="727"/>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06E2B7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58_3</w:t>
            </w:r>
          </w:p>
        </w:tc>
        <w:tc>
          <w:tcPr>
            <w:tcW w:w="1715" w:type="dxa"/>
            <w:tcBorders>
              <w:top w:val="nil"/>
              <w:left w:val="nil"/>
              <w:bottom w:val="single" w:sz="4" w:space="0" w:color="auto"/>
              <w:right w:val="single" w:sz="4" w:space="0" w:color="auto"/>
            </w:tcBorders>
            <w:shd w:val="clear" w:color="auto" w:fill="auto"/>
            <w:vAlign w:val="center"/>
            <w:hideMark/>
          </w:tcPr>
          <w:p w14:paraId="5D85571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F6B8478"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eastAsia="el-GR"/>
              </w:rPr>
              <w:t>Α</w:t>
            </w:r>
            <w:r w:rsidRPr="00A240A3">
              <w:rPr>
                <w:rFonts w:ascii="Calibri" w:eastAsia="Times New Roman" w:hAnsi="Calibri" w:cs="Calibri"/>
                <w:sz w:val="20"/>
                <w:szCs w:val="20"/>
                <w:lang w:val="en-US" w:eastAsia="el-GR"/>
              </w:rPr>
              <w:t xml:space="preserve">.3 Submission Method                                                                                                                                                                                                                                 The above supporting documents are submitted in electronic form by email to the email address ypahes@aade.gr and include, where required, either a certificate of genuine signature or a digital certificate, via the gov.gr digital portal, of the legal </w:t>
            </w:r>
            <w:r w:rsidRPr="00A240A3">
              <w:rPr>
                <w:rFonts w:ascii="Calibri" w:eastAsia="Times New Roman" w:hAnsi="Calibri" w:cs="Calibri"/>
                <w:sz w:val="20"/>
                <w:szCs w:val="20"/>
                <w:lang w:val="en-US" w:eastAsia="el-GR"/>
              </w:rPr>
              <w:lastRenderedPageBreak/>
              <w:t xml:space="preserve">representative of the respective domestic or foreign Provider with a permanent establishment in Greece. </w:t>
            </w:r>
          </w:p>
        </w:tc>
        <w:tc>
          <w:tcPr>
            <w:tcW w:w="925" w:type="dxa"/>
            <w:tcBorders>
              <w:top w:val="nil"/>
              <w:left w:val="nil"/>
              <w:bottom w:val="single" w:sz="4" w:space="0" w:color="auto"/>
              <w:right w:val="single" w:sz="4" w:space="0" w:color="auto"/>
            </w:tcBorders>
            <w:shd w:val="clear" w:color="000000" w:fill="DDEBF7"/>
            <w:vAlign w:val="center"/>
            <w:hideMark/>
          </w:tcPr>
          <w:p w14:paraId="3AC5CB6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lastRenderedPageBreak/>
              <w:t>√</w:t>
            </w:r>
          </w:p>
        </w:tc>
        <w:tc>
          <w:tcPr>
            <w:tcW w:w="1384" w:type="dxa"/>
            <w:tcBorders>
              <w:top w:val="nil"/>
              <w:left w:val="nil"/>
              <w:bottom w:val="single" w:sz="4" w:space="0" w:color="auto"/>
              <w:right w:val="single" w:sz="4" w:space="0" w:color="auto"/>
            </w:tcBorders>
            <w:shd w:val="clear" w:color="000000" w:fill="DDEBF7"/>
            <w:vAlign w:val="center"/>
            <w:hideMark/>
          </w:tcPr>
          <w:p w14:paraId="511835A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8CE692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1A6080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298F4AEA" w14:textId="77777777" w:rsidR="00D678A7" w:rsidRPr="00A240A3" w:rsidRDefault="00D678A7" w:rsidP="00D678A7">
            <w:pPr>
              <w:spacing w:after="0" w:line="240" w:lineRule="auto"/>
              <w:jc w:val="center"/>
              <w:rPr>
                <w:rFonts w:ascii="Calibri" w:eastAsia="Times New Roman" w:hAnsi="Calibri" w:cs="Calibri"/>
                <w:color w:val="0000FF"/>
                <w:sz w:val="20"/>
                <w:szCs w:val="20"/>
                <w:lang w:eastAsia="el-GR"/>
              </w:rPr>
            </w:pPr>
            <w:r w:rsidRPr="00A240A3">
              <w:rPr>
                <w:rFonts w:ascii="Calibri" w:eastAsia="Times New Roman" w:hAnsi="Calibri" w:cs="Calibri"/>
                <w:color w:val="0000FF"/>
                <w:sz w:val="20"/>
                <w:szCs w:val="20"/>
                <w:lang w:eastAsia="el-GR"/>
              </w:rPr>
              <w:t> </w:t>
            </w:r>
          </w:p>
        </w:tc>
      </w:tr>
      <w:tr w:rsidR="00D678A7" w:rsidRPr="00A240A3" w14:paraId="58B87C29"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794681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w:t>
            </w:r>
          </w:p>
        </w:tc>
        <w:tc>
          <w:tcPr>
            <w:tcW w:w="1715" w:type="dxa"/>
            <w:tcBorders>
              <w:top w:val="nil"/>
              <w:left w:val="nil"/>
              <w:bottom w:val="single" w:sz="4" w:space="0" w:color="auto"/>
              <w:right w:val="single" w:sz="4" w:space="0" w:color="auto"/>
            </w:tcBorders>
            <w:shd w:val="clear" w:color="auto" w:fill="auto"/>
            <w:vAlign w:val="center"/>
            <w:hideMark/>
          </w:tcPr>
          <w:p w14:paraId="536A8496" w14:textId="77777777" w:rsidR="00D678A7" w:rsidRPr="00A240A3" w:rsidRDefault="00D678A7" w:rsidP="00D678A7">
            <w:pPr>
              <w:spacing w:after="0" w:line="240" w:lineRule="auto"/>
              <w:jc w:val="center"/>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ANNEX </w:t>
            </w:r>
            <w:r w:rsidRPr="00A240A3">
              <w:rPr>
                <w:rFonts w:ascii="Calibri" w:eastAsia="Times New Roman" w:hAnsi="Calibri" w:cs="Calibri"/>
                <w:sz w:val="20"/>
                <w:szCs w:val="20"/>
                <w:lang w:eastAsia="el-GR"/>
              </w:rPr>
              <w:t>Β</w:t>
            </w:r>
            <w:r w:rsidRPr="00A240A3">
              <w:rPr>
                <w:rFonts w:ascii="Calibri" w:eastAsia="Times New Roman" w:hAnsi="Calibri" w:cs="Calibri"/>
                <w:sz w:val="20"/>
                <w:szCs w:val="20"/>
                <w:lang w:val="en-US" w:eastAsia="el-GR"/>
              </w:rPr>
              <w:t xml:space="preserve">: </w:t>
            </w:r>
            <w:r w:rsidRPr="00A240A3">
              <w:rPr>
                <w:rFonts w:ascii="Calibri" w:eastAsia="Times New Roman" w:hAnsi="Calibri" w:cs="Calibri"/>
                <w:sz w:val="20"/>
                <w:szCs w:val="20"/>
                <w:lang w:val="en-US" w:eastAsia="el-GR"/>
              </w:rPr>
              <w:br/>
              <w:t>DATA AND METHOD OF TRANSMISSION TO THE IAPR</w:t>
            </w:r>
          </w:p>
        </w:tc>
        <w:tc>
          <w:tcPr>
            <w:tcW w:w="7157" w:type="dxa"/>
            <w:tcBorders>
              <w:top w:val="nil"/>
              <w:left w:val="nil"/>
              <w:bottom w:val="single" w:sz="4" w:space="0" w:color="auto"/>
              <w:right w:val="single" w:sz="4" w:space="0" w:color="auto"/>
            </w:tcBorders>
            <w:shd w:val="clear" w:color="auto" w:fill="auto"/>
            <w:vAlign w:val="center"/>
            <w:hideMark/>
          </w:tcPr>
          <w:p w14:paraId="386D51D9"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eastAsia="el-GR"/>
              </w:rPr>
              <w:t>Β</w:t>
            </w:r>
            <w:r w:rsidRPr="00A240A3">
              <w:rPr>
                <w:rFonts w:ascii="Calibri" w:eastAsia="Times New Roman" w:hAnsi="Calibri" w:cs="Calibri"/>
                <w:sz w:val="20"/>
                <w:szCs w:val="20"/>
                <w:lang w:val="en-US" w:eastAsia="el-GR"/>
              </w:rPr>
              <w:t>1.  Creation of a Document Authentication String</w:t>
            </w:r>
          </w:p>
        </w:tc>
        <w:tc>
          <w:tcPr>
            <w:tcW w:w="925" w:type="dxa"/>
            <w:tcBorders>
              <w:top w:val="nil"/>
              <w:left w:val="nil"/>
              <w:bottom w:val="single" w:sz="4" w:space="0" w:color="auto"/>
              <w:right w:val="single" w:sz="4" w:space="0" w:color="auto"/>
            </w:tcBorders>
            <w:shd w:val="clear" w:color="000000" w:fill="DDEBF7"/>
            <w:vAlign w:val="center"/>
            <w:hideMark/>
          </w:tcPr>
          <w:p w14:paraId="54E9C62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762A0B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DBCD70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09166F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52788D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8F241A0"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880209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59_1</w:t>
            </w:r>
          </w:p>
        </w:tc>
        <w:tc>
          <w:tcPr>
            <w:tcW w:w="1715" w:type="dxa"/>
            <w:tcBorders>
              <w:top w:val="nil"/>
              <w:left w:val="nil"/>
              <w:bottom w:val="single" w:sz="4" w:space="0" w:color="auto"/>
              <w:right w:val="single" w:sz="4" w:space="0" w:color="auto"/>
            </w:tcBorders>
            <w:shd w:val="clear" w:color="auto" w:fill="auto"/>
            <w:vAlign w:val="center"/>
            <w:hideMark/>
          </w:tcPr>
          <w:p w14:paraId="266FFA3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30DE8E8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The document authentication string is calculated using the SHA-1 algorithm and entering the document fields:</w:t>
            </w:r>
          </w:p>
        </w:tc>
        <w:tc>
          <w:tcPr>
            <w:tcW w:w="925" w:type="dxa"/>
            <w:tcBorders>
              <w:top w:val="nil"/>
              <w:left w:val="nil"/>
              <w:bottom w:val="single" w:sz="4" w:space="0" w:color="auto"/>
              <w:right w:val="single" w:sz="4" w:space="0" w:color="auto"/>
            </w:tcBorders>
            <w:shd w:val="clear" w:color="000000" w:fill="DDEBF7"/>
            <w:vAlign w:val="center"/>
            <w:hideMark/>
          </w:tcPr>
          <w:p w14:paraId="650FCC7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A245DE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03445B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06401B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17A2506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1EDFA49"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0CC7BA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59_2</w:t>
            </w:r>
          </w:p>
        </w:tc>
        <w:tc>
          <w:tcPr>
            <w:tcW w:w="1715" w:type="dxa"/>
            <w:tcBorders>
              <w:top w:val="nil"/>
              <w:left w:val="nil"/>
              <w:bottom w:val="single" w:sz="4" w:space="0" w:color="auto"/>
              <w:right w:val="single" w:sz="4" w:space="0" w:color="auto"/>
            </w:tcBorders>
            <w:shd w:val="clear" w:color="auto" w:fill="auto"/>
            <w:vAlign w:val="center"/>
            <w:hideMark/>
          </w:tcPr>
          <w:p w14:paraId="0FB0DAF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ECCDDA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a) Issuer's Tax Identification Number: The TIN Number of the issuer of the tax document without the country prefix (refers to tax documents issued in Greece). In case the document is issued through a tax representative, the assignor’s TIN /VAT number obtained in Greece is indicated.</w:t>
            </w:r>
          </w:p>
        </w:tc>
        <w:tc>
          <w:tcPr>
            <w:tcW w:w="925" w:type="dxa"/>
            <w:tcBorders>
              <w:top w:val="nil"/>
              <w:left w:val="nil"/>
              <w:bottom w:val="single" w:sz="4" w:space="0" w:color="auto"/>
              <w:right w:val="single" w:sz="4" w:space="0" w:color="auto"/>
            </w:tcBorders>
            <w:shd w:val="clear" w:color="000000" w:fill="DDEBF7"/>
            <w:vAlign w:val="center"/>
            <w:hideMark/>
          </w:tcPr>
          <w:p w14:paraId="6460BBD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E13155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D25F26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3D1774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75DA474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0D4DE2C7"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1A7AE0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59_3</w:t>
            </w:r>
          </w:p>
        </w:tc>
        <w:tc>
          <w:tcPr>
            <w:tcW w:w="1715" w:type="dxa"/>
            <w:tcBorders>
              <w:top w:val="nil"/>
              <w:left w:val="nil"/>
              <w:bottom w:val="single" w:sz="4" w:space="0" w:color="auto"/>
              <w:right w:val="single" w:sz="4" w:space="0" w:color="auto"/>
            </w:tcBorders>
            <w:shd w:val="clear" w:color="auto" w:fill="auto"/>
            <w:vAlign w:val="center"/>
            <w:hideMark/>
          </w:tcPr>
          <w:p w14:paraId="08CCA89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E6BDB4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b) ISSUE DATE: The date of issue of the tax document in DD/MM/YYYY format.</w:t>
            </w:r>
          </w:p>
        </w:tc>
        <w:tc>
          <w:tcPr>
            <w:tcW w:w="925" w:type="dxa"/>
            <w:tcBorders>
              <w:top w:val="nil"/>
              <w:left w:val="nil"/>
              <w:bottom w:val="single" w:sz="4" w:space="0" w:color="auto"/>
              <w:right w:val="single" w:sz="4" w:space="0" w:color="auto"/>
            </w:tcBorders>
            <w:shd w:val="clear" w:color="000000" w:fill="DDEBF7"/>
            <w:vAlign w:val="center"/>
            <w:hideMark/>
          </w:tcPr>
          <w:p w14:paraId="7AC9193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FDA84E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D28F42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72C118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30AA38B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4EA8DC7E"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001A52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59_4</w:t>
            </w:r>
          </w:p>
        </w:tc>
        <w:tc>
          <w:tcPr>
            <w:tcW w:w="1715" w:type="dxa"/>
            <w:tcBorders>
              <w:top w:val="nil"/>
              <w:left w:val="nil"/>
              <w:bottom w:val="single" w:sz="4" w:space="0" w:color="auto"/>
              <w:right w:val="single" w:sz="4" w:space="0" w:color="auto"/>
            </w:tcBorders>
            <w:shd w:val="clear" w:color="auto" w:fill="auto"/>
            <w:vAlign w:val="center"/>
            <w:hideMark/>
          </w:tcPr>
          <w:p w14:paraId="5A2A10E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AD837A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c) ESTABLISHMENT NUMBER: The serial number of the establishment where the tax document is issued, as declared in the tax register. In the case of the headquarters establishment, the field is completed with the value of 0.</w:t>
            </w:r>
          </w:p>
        </w:tc>
        <w:tc>
          <w:tcPr>
            <w:tcW w:w="925" w:type="dxa"/>
            <w:tcBorders>
              <w:top w:val="nil"/>
              <w:left w:val="nil"/>
              <w:bottom w:val="single" w:sz="4" w:space="0" w:color="auto"/>
              <w:right w:val="single" w:sz="4" w:space="0" w:color="auto"/>
            </w:tcBorders>
            <w:shd w:val="clear" w:color="000000" w:fill="DDEBF7"/>
            <w:vAlign w:val="center"/>
            <w:hideMark/>
          </w:tcPr>
          <w:p w14:paraId="73DCDEE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B605C2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ABCE16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B20B33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3087392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565C3A18"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3F1FBE9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59_5</w:t>
            </w:r>
          </w:p>
        </w:tc>
        <w:tc>
          <w:tcPr>
            <w:tcW w:w="1715" w:type="dxa"/>
            <w:tcBorders>
              <w:top w:val="nil"/>
              <w:left w:val="nil"/>
              <w:bottom w:val="single" w:sz="4" w:space="0" w:color="auto"/>
              <w:right w:val="single" w:sz="4" w:space="0" w:color="auto"/>
            </w:tcBorders>
            <w:shd w:val="clear" w:color="auto" w:fill="auto"/>
            <w:vAlign w:val="center"/>
            <w:hideMark/>
          </w:tcPr>
          <w:p w14:paraId="3FE07C0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2020C94"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d) DOCUMENT TYPE: The document code according to the document data standardization of the IAPR, as posted on its website: https://www.aade.gr/mydata/tehnikes-prodiagrafes-ekdoseis-mydata</w:t>
            </w:r>
          </w:p>
        </w:tc>
        <w:tc>
          <w:tcPr>
            <w:tcW w:w="925" w:type="dxa"/>
            <w:tcBorders>
              <w:top w:val="nil"/>
              <w:left w:val="nil"/>
              <w:bottom w:val="single" w:sz="4" w:space="0" w:color="auto"/>
              <w:right w:val="single" w:sz="4" w:space="0" w:color="auto"/>
            </w:tcBorders>
            <w:shd w:val="clear" w:color="000000" w:fill="DDEBF7"/>
            <w:vAlign w:val="center"/>
            <w:hideMark/>
          </w:tcPr>
          <w:p w14:paraId="43A957E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29E972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919A9A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88D65F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438EBFA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C4B84B5"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B2D9A4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59_6</w:t>
            </w:r>
          </w:p>
        </w:tc>
        <w:tc>
          <w:tcPr>
            <w:tcW w:w="1715" w:type="dxa"/>
            <w:tcBorders>
              <w:top w:val="nil"/>
              <w:left w:val="nil"/>
              <w:bottom w:val="single" w:sz="4" w:space="0" w:color="auto"/>
              <w:right w:val="single" w:sz="4" w:space="0" w:color="auto"/>
            </w:tcBorders>
            <w:shd w:val="clear" w:color="auto" w:fill="auto"/>
            <w:vAlign w:val="center"/>
            <w:hideMark/>
          </w:tcPr>
          <w:p w14:paraId="0F84CE1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4E4287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e) SERIES: If there is the indication ‘‘series’’ in the tax element, the field is completed with the corresponding alphanumeric characters. In the case where there is no series, it is filled in with the value of 0.</w:t>
            </w:r>
          </w:p>
        </w:tc>
        <w:tc>
          <w:tcPr>
            <w:tcW w:w="925" w:type="dxa"/>
            <w:tcBorders>
              <w:top w:val="nil"/>
              <w:left w:val="nil"/>
              <w:bottom w:val="single" w:sz="4" w:space="0" w:color="auto"/>
              <w:right w:val="single" w:sz="4" w:space="0" w:color="auto"/>
            </w:tcBorders>
            <w:shd w:val="clear" w:color="000000" w:fill="DDEBF7"/>
            <w:vAlign w:val="center"/>
            <w:hideMark/>
          </w:tcPr>
          <w:p w14:paraId="6FF06531"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467099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FE83C1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B558AB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1BB7FC0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8197336"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82F057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59_7</w:t>
            </w:r>
          </w:p>
        </w:tc>
        <w:tc>
          <w:tcPr>
            <w:tcW w:w="1715" w:type="dxa"/>
            <w:tcBorders>
              <w:top w:val="nil"/>
              <w:left w:val="nil"/>
              <w:bottom w:val="single" w:sz="4" w:space="0" w:color="auto"/>
              <w:right w:val="single" w:sz="4" w:space="0" w:color="auto"/>
            </w:tcBorders>
            <w:shd w:val="clear" w:color="auto" w:fill="auto"/>
            <w:vAlign w:val="center"/>
            <w:hideMark/>
          </w:tcPr>
          <w:p w14:paraId="3EF2A8C9"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E42042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f) NUMBER: The serial number of the issued tax document.</w:t>
            </w:r>
          </w:p>
        </w:tc>
        <w:tc>
          <w:tcPr>
            <w:tcW w:w="925" w:type="dxa"/>
            <w:tcBorders>
              <w:top w:val="nil"/>
              <w:left w:val="nil"/>
              <w:bottom w:val="single" w:sz="4" w:space="0" w:color="auto"/>
              <w:right w:val="single" w:sz="4" w:space="0" w:color="auto"/>
            </w:tcBorders>
            <w:shd w:val="clear" w:color="000000" w:fill="DDEBF7"/>
            <w:vAlign w:val="center"/>
            <w:hideMark/>
          </w:tcPr>
          <w:p w14:paraId="45A643E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687D8F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749AA88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C415E5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22CC710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0E6D5F3"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2365ABA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59_8</w:t>
            </w:r>
          </w:p>
        </w:tc>
        <w:tc>
          <w:tcPr>
            <w:tcW w:w="1715" w:type="dxa"/>
            <w:tcBorders>
              <w:top w:val="nil"/>
              <w:left w:val="nil"/>
              <w:bottom w:val="single" w:sz="4" w:space="0" w:color="auto"/>
              <w:right w:val="single" w:sz="4" w:space="0" w:color="auto"/>
            </w:tcBorders>
            <w:shd w:val="clear" w:color="auto" w:fill="auto"/>
            <w:vAlign w:val="center"/>
            <w:hideMark/>
          </w:tcPr>
          <w:p w14:paraId="0E76A84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923066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g) M.AR.K. (URN): The Unique Registration Number. This number is assigned by the Provider's software after using the relevant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interface of the IAPR.</w:t>
            </w:r>
          </w:p>
        </w:tc>
        <w:tc>
          <w:tcPr>
            <w:tcW w:w="925" w:type="dxa"/>
            <w:tcBorders>
              <w:top w:val="nil"/>
              <w:left w:val="nil"/>
              <w:bottom w:val="single" w:sz="4" w:space="0" w:color="auto"/>
              <w:right w:val="single" w:sz="4" w:space="0" w:color="auto"/>
            </w:tcBorders>
            <w:shd w:val="clear" w:color="000000" w:fill="DDEBF7"/>
            <w:vAlign w:val="center"/>
            <w:hideMark/>
          </w:tcPr>
          <w:p w14:paraId="4FBAAB3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7471D3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E37D43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ED42B2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7C88385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6A329B6"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02AA8B7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59_9</w:t>
            </w:r>
          </w:p>
        </w:tc>
        <w:tc>
          <w:tcPr>
            <w:tcW w:w="1715" w:type="dxa"/>
            <w:tcBorders>
              <w:top w:val="nil"/>
              <w:left w:val="nil"/>
              <w:bottom w:val="single" w:sz="4" w:space="0" w:color="auto"/>
              <w:right w:val="single" w:sz="4" w:space="0" w:color="auto"/>
            </w:tcBorders>
            <w:shd w:val="clear" w:color="auto" w:fill="auto"/>
            <w:vAlign w:val="center"/>
            <w:hideMark/>
          </w:tcPr>
          <w:p w14:paraId="63B62DCC"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F07E0D3"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h) Total Value: The total value of the document, as indicated therein.</w:t>
            </w:r>
          </w:p>
        </w:tc>
        <w:tc>
          <w:tcPr>
            <w:tcW w:w="925" w:type="dxa"/>
            <w:tcBorders>
              <w:top w:val="nil"/>
              <w:left w:val="nil"/>
              <w:bottom w:val="single" w:sz="4" w:space="0" w:color="auto"/>
              <w:right w:val="single" w:sz="4" w:space="0" w:color="auto"/>
            </w:tcBorders>
            <w:shd w:val="clear" w:color="000000" w:fill="DDEBF7"/>
            <w:vAlign w:val="center"/>
            <w:hideMark/>
          </w:tcPr>
          <w:p w14:paraId="4C48D6D8"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166EE4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4D0743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4C07019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43D53D72"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9BFDF2E"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C840928"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59_10</w:t>
            </w:r>
          </w:p>
        </w:tc>
        <w:tc>
          <w:tcPr>
            <w:tcW w:w="1715" w:type="dxa"/>
            <w:tcBorders>
              <w:top w:val="nil"/>
              <w:left w:val="nil"/>
              <w:bottom w:val="single" w:sz="4" w:space="0" w:color="auto"/>
              <w:right w:val="single" w:sz="4" w:space="0" w:color="auto"/>
            </w:tcBorders>
            <w:shd w:val="clear" w:color="auto" w:fill="auto"/>
            <w:vAlign w:val="center"/>
            <w:hideMark/>
          </w:tcPr>
          <w:p w14:paraId="105FF570"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C577C1D" w14:textId="77777777" w:rsidR="00D678A7" w:rsidRPr="00A240A3" w:rsidRDefault="00D678A7" w:rsidP="00D678A7">
            <w:pPr>
              <w:spacing w:after="0" w:line="240" w:lineRule="auto"/>
              <w:rPr>
                <w:rFonts w:ascii="Calibri" w:eastAsia="Times New Roman" w:hAnsi="Calibri" w:cs="Calibri"/>
                <w:sz w:val="20"/>
                <w:szCs w:val="20"/>
                <w:lang w:val="en-US" w:eastAsia="el-GR"/>
              </w:rPr>
            </w:pPr>
            <w:proofErr w:type="spellStart"/>
            <w:r w:rsidRPr="00A240A3">
              <w:rPr>
                <w:rFonts w:ascii="Calibri" w:eastAsia="Times New Roman" w:hAnsi="Calibri" w:cs="Calibri"/>
                <w:sz w:val="20"/>
                <w:szCs w:val="20"/>
                <w:lang w:val="en-US" w:eastAsia="el-GR"/>
              </w:rPr>
              <w:t>i</w:t>
            </w:r>
            <w:proofErr w:type="spellEnd"/>
            <w:r w:rsidRPr="00A240A3">
              <w:rPr>
                <w:rFonts w:ascii="Calibri" w:eastAsia="Times New Roman" w:hAnsi="Calibri" w:cs="Calibri"/>
                <w:sz w:val="20"/>
                <w:szCs w:val="20"/>
                <w:lang w:val="en-US" w:eastAsia="el-GR"/>
              </w:rPr>
              <w:t>) Total VAT: The total VAT, as indicated in the document.</w:t>
            </w:r>
          </w:p>
        </w:tc>
        <w:tc>
          <w:tcPr>
            <w:tcW w:w="925" w:type="dxa"/>
            <w:tcBorders>
              <w:top w:val="nil"/>
              <w:left w:val="nil"/>
              <w:bottom w:val="single" w:sz="4" w:space="0" w:color="auto"/>
              <w:right w:val="single" w:sz="4" w:space="0" w:color="auto"/>
            </w:tcBorders>
            <w:shd w:val="clear" w:color="000000" w:fill="DDEBF7"/>
            <w:vAlign w:val="center"/>
            <w:hideMark/>
          </w:tcPr>
          <w:p w14:paraId="534147B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A6A0A6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11D1A9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4919CD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113A043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719C5CB6"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50E1F2ED"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59_11</w:t>
            </w:r>
          </w:p>
        </w:tc>
        <w:tc>
          <w:tcPr>
            <w:tcW w:w="1715" w:type="dxa"/>
            <w:tcBorders>
              <w:top w:val="nil"/>
              <w:left w:val="nil"/>
              <w:bottom w:val="single" w:sz="4" w:space="0" w:color="auto"/>
              <w:right w:val="single" w:sz="4" w:space="0" w:color="auto"/>
            </w:tcBorders>
            <w:shd w:val="clear" w:color="auto" w:fill="auto"/>
            <w:vAlign w:val="center"/>
            <w:hideMark/>
          </w:tcPr>
          <w:p w14:paraId="07315AD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B75F346"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j) Recipient's Tax Identification Number: The TIN Number of the recipient of the tax document with the country prefix.</w:t>
            </w:r>
          </w:p>
        </w:tc>
        <w:tc>
          <w:tcPr>
            <w:tcW w:w="925" w:type="dxa"/>
            <w:tcBorders>
              <w:top w:val="nil"/>
              <w:left w:val="nil"/>
              <w:bottom w:val="single" w:sz="4" w:space="0" w:color="auto"/>
              <w:right w:val="single" w:sz="4" w:space="0" w:color="auto"/>
            </w:tcBorders>
            <w:shd w:val="clear" w:color="000000" w:fill="DDEBF7"/>
            <w:vAlign w:val="center"/>
            <w:hideMark/>
          </w:tcPr>
          <w:p w14:paraId="470274C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446166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FD59A9F"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099AA9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3233359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6C8CA889"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169DB76B"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w:t>
            </w:r>
          </w:p>
        </w:tc>
        <w:tc>
          <w:tcPr>
            <w:tcW w:w="1715" w:type="dxa"/>
            <w:tcBorders>
              <w:top w:val="nil"/>
              <w:left w:val="nil"/>
              <w:bottom w:val="single" w:sz="4" w:space="0" w:color="auto"/>
              <w:right w:val="single" w:sz="4" w:space="0" w:color="auto"/>
            </w:tcBorders>
            <w:shd w:val="clear" w:color="auto" w:fill="auto"/>
            <w:vAlign w:val="center"/>
            <w:hideMark/>
          </w:tcPr>
          <w:p w14:paraId="3B923CB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43119B1" w14:textId="77777777" w:rsidR="00D678A7" w:rsidRPr="00A240A3" w:rsidRDefault="00D678A7" w:rsidP="00D678A7">
            <w:pPr>
              <w:spacing w:after="0" w:line="240" w:lineRule="auto"/>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xml:space="preserve">Β2.  </w:t>
            </w:r>
            <w:proofErr w:type="spellStart"/>
            <w:r w:rsidRPr="00A240A3">
              <w:rPr>
                <w:rFonts w:ascii="Calibri" w:eastAsia="Times New Roman" w:hAnsi="Calibri" w:cs="Calibri"/>
                <w:sz w:val="20"/>
                <w:szCs w:val="20"/>
                <w:lang w:eastAsia="el-GR"/>
              </w:rPr>
              <w:t>Document</w:t>
            </w:r>
            <w:proofErr w:type="spellEnd"/>
            <w:r w:rsidRPr="00A240A3">
              <w:rPr>
                <w:rFonts w:ascii="Calibri" w:eastAsia="Times New Roman" w:hAnsi="Calibri" w:cs="Calibri"/>
                <w:sz w:val="20"/>
                <w:szCs w:val="20"/>
                <w:lang w:eastAsia="el-GR"/>
              </w:rPr>
              <w:t xml:space="preserve"> </w:t>
            </w:r>
            <w:proofErr w:type="spellStart"/>
            <w:r w:rsidRPr="00A240A3">
              <w:rPr>
                <w:rFonts w:ascii="Calibri" w:eastAsia="Times New Roman" w:hAnsi="Calibri" w:cs="Calibri"/>
                <w:sz w:val="20"/>
                <w:szCs w:val="20"/>
                <w:lang w:eastAsia="el-GR"/>
              </w:rPr>
              <w:t>Identifier</w:t>
            </w:r>
            <w:proofErr w:type="spellEnd"/>
          </w:p>
        </w:tc>
        <w:tc>
          <w:tcPr>
            <w:tcW w:w="925" w:type="dxa"/>
            <w:tcBorders>
              <w:top w:val="nil"/>
              <w:left w:val="nil"/>
              <w:bottom w:val="single" w:sz="4" w:space="0" w:color="auto"/>
              <w:right w:val="single" w:sz="4" w:space="0" w:color="auto"/>
            </w:tcBorders>
            <w:shd w:val="clear" w:color="000000" w:fill="DDEBF7"/>
            <w:vAlign w:val="center"/>
            <w:hideMark/>
          </w:tcPr>
          <w:p w14:paraId="1AB37EE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317670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63D7BFC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6E5C98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14:paraId="18721B4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678A7" w:rsidRPr="00A240A3" w14:paraId="156B30E1"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B2A8FB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60_1</w:t>
            </w:r>
          </w:p>
        </w:tc>
        <w:tc>
          <w:tcPr>
            <w:tcW w:w="1715" w:type="dxa"/>
            <w:tcBorders>
              <w:top w:val="nil"/>
              <w:left w:val="nil"/>
              <w:bottom w:val="single" w:sz="4" w:space="0" w:color="auto"/>
              <w:right w:val="single" w:sz="4" w:space="0" w:color="auto"/>
            </w:tcBorders>
            <w:shd w:val="clear" w:color="auto" w:fill="auto"/>
            <w:vAlign w:val="center"/>
            <w:hideMark/>
          </w:tcPr>
          <w:p w14:paraId="5AD9758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37E2EC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The document’s identifier is calculated using the SHA-1 algorithm and entering the document fields:</w:t>
            </w:r>
          </w:p>
        </w:tc>
        <w:tc>
          <w:tcPr>
            <w:tcW w:w="925" w:type="dxa"/>
            <w:tcBorders>
              <w:top w:val="nil"/>
              <w:left w:val="nil"/>
              <w:bottom w:val="single" w:sz="4" w:space="0" w:color="auto"/>
              <w:right w:val="single" w:sz="4" w:space="0" w:color="auto"/>
            </w:tcBorders>
            <w:shd w:val="clear" w:color="000000" w:fill="DDEBF7"/>
            <w:vAlign w:val="center"/>
            <w:hideMark/>
          </w:tcPr>
          <w:p w14:paraId="7AD582B9"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C04EBC4"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3D5A21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5B7DE6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79DC59BA"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0CD256A3"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C3EE86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lastRenderedPageBreak/>
              <w:t>60_2</w:t>
            </w:r>
          </w:p>
        </w:tc>
        <w:tc>
          <w:tcPr>
            <w:tcW w:w="1715" w:type="dxa"/>
            <w:tcBorders>
              <w:top w:val="nil"/>
              <w:left w:val="nil"/>
              <w:bottom w:val="single" w:sz="4" w:space="0" w:color="auto"/>
              <w:right w:val="single" w:sz="4" w:space="0" w:color="auto"/>
            </w:tcBorders>
            <w:shd w:val="clear" w:color="auto" w:fill="auto"/>
            <w:vAlign w:val="center"/>
            <w:hideMark/>
          </w:tcPr>
          <w:p w14:paraId="246687E5"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C7812D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a) Issuer's Tax Identification Number: The TIN number of the issuer of the tax document without the country prefix (refers to tax documents issued in Greece). In the event that the issuance is made through a tax representative, the assignor’s TIN number obtained in Greece is indicated.</w:t>
            </w:r>
          </w:p>
        </w:tc>
        <w:tc>
          <w:tcPr>
            <w:tcW w:w="925" w:type="dxa"/>
            <w:tcBorders>
              <w:top w:val="nil"/>
              <w:left w:val="nil"/>
              <w:bottom w:val="single" w:sz="4" w:space="0" w:color="auto"/>
              <w:right w:val="single" w:sz="4" w:space="0" w:color="auto"/>
            </w:tcBorders>
            <w:shd w:val="clear" w:color="000000" w:fill="DDEBF7"/>
            <w:vAlign w:val="center"/>
            <w:hideMark/>
          </w:tcPr>
          <w:p w14:paraId="75769F5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2CC788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9394A88"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05ED1BA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744B6E46"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63657CC0"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C52719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60_3</w:t>
            </w:r>
          </w:p>
        </w:tc>
        <w:tc>
          <w:tcPr>
            <w:tcW w:w="1715" w:type="dxa"/>
            <w:tcBorders>
              <w:top w:val="nil"/>
              <w:left w:val="nil"/>
              <w:bottom w:val="single" w:sz="4" w:space="0" w:color="auto"/>
              <w:right w:val="single" w:sz="4" w:space="0" w:color="auto"/>
            </w:tcBorders>
            <w:shd w:val="clear" w:color="auto" w:fill="auto"/>
            <w:vAlign w:val="center"/>
            <w:hideMark/>
          </w:tcPr>
          <w:p w14:paraId="01DBDD63"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6AC8CF71"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b) ISSUE DATE: The date of issuance of the tax document in DD/MM/YYYY format.</w:t>
            </w:r>
          </w:p>
        </w:tc>
        <w:tc>
          <w:tcPr>
            <w:tcW w:w="925" w:type="dxa"/>
            <w:tcBorders>
              <w:top w:val="nil"/>
              <w:left w:val="nil"/>
              <w:bottom w:val="single" w:sz="4" w:space="0" w:color="auto"/>
              <w:right w:val="single" w:sz="4" w:space="0" w:color="auto"/>
            </w:tcBorders>
            <w:shd w:val="clear" w:color="000000" w:fill="DDEBF7"/>
            <w:vAlign w:val="center"/>
            <w:hideMark/>
          </w:tcPr>
          <w:p w14:paraId="34CB0FE6"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D2DC00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F2D6FD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D29538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1575CDD1"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0F83B984"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76FC9EF"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60_4</w:t>
            </w:r>
          </w:p>
        </w:tc>
        <w:tc>
          <w:tcPr>
            <w:tcW w:w="1715" w:type="dxa"/>
            <w:tcBorders>
              <w:top w:val="nil"/>
              <w:left w:val="nil"/>
              <w:bottom w:val="single" w:sz="4" w:space="0" w:color="auto"/>
              <w:right w:val="single" w:sz="4" w:space="0" w:color="auto"/>
            </w:tcBorders>
            <w:shd w:val="clear" w:color="auto" w:fill="auto"/>
            <w:vAlign w:val="center"/>
            <w:hideMark/>
          </w:tcPr>
          <w:p w14:paraId="26A2BD27"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4C3F4727"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c) ESTABLISHMENT NUMBER: The serial number of the establishment where the tax element is issued, as declared in the tax register. In the case of the headquarters establishment, the field is completed with the value of 0.</w:t>
            </w:r>
          </w:p>
        </w:tc>
        <w:tc>
          <w:tcPr>
            <w:tcW w:w="925" w:type="dxa"/>
            <w:tcBorders>
              <w:top w:val="nil"/>
              <w:left w:val="nil"/>
              <w:bottom w:val="single" w:sz="4" w:space="0" w:color="auto"/>
              <w:right w:val="single" w:sz="4" w:space="0" w:color="auto"/>
            </w:tcBorders>
            <w:shd w:val="clear" w:color="000000" w:fill="DDEBF7"/>
            <w:vAlign w:val="center"/>
            <w:hideMark/>
          </w:tcPr>
          <w:p w14:paraId="32996FAC"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435DDE6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032A8CE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26C788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66596BA6"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1B2EF87E"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4B70BA3E"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60_5</w:t>
            </w:r>
          </w:p>
        </w:tc>
        <w:tc>
          <w:tcPr>
            <w:tcW w:w="1715" w:type="dxa"/>
            <w:tcBorders>
              <w:top w:val="nil"/>
              <w:left w:val="nil"/>
              <w:bottom w:val="single" w:sz="4" w:space="0" w:color="auto"/>
              <w:right w:val="single" w:sz="4" w:space="0" w:color="auto"/>
            </w:tcBorders>
            <w:shd w:val="clear" w:color="auto" w:fill="auto"/>
            <w:vAlign w:val="center"/>
            <w:hideMark/>
          </w:tcPr>
          <w:p w14:paraId="3EA5CCB1"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9AA78EA"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d) DOCUMENT TYPE: The document code according to the document data standardization of the IAPR, as posted on its website:</w:t>
            </w:r>
            <w:r w:rsidRPr="00A240A3">
              <w:rPr>
                <w:rFonts w:ascii="Calibri" w:eastAsia="Times New Roman" w:hAnsi="Calibri" w:cs="Calibri"/>
                <w:sz w:val="20"/>
                <w:szCs w:val="20"/>
                <w:lang w:val="en-US" w:eastAsia="el-GR"/>
              </w:rPr>
              <w:br/>
              <w:t>https://www.aade.gr/mydata/tehnikes-prodiagrafes-ekdoseis-mydata</w:t>
            </w:r>
          </w:p>
        </w:tc>
        <w:tc>
          <w:tcPr>
            <w:tcW w:w="925" w:type="dxa"/>
            <w:tcBorders>
              <w:top w:val="nil"/>
              <w:left w:val="nil"/>
              <w:bottom w:val="single" w:sz="4" w:space="0" w:color="auto"/>
              <w:right w:val="single" w:sz="4" w:space="0" w:color="auto"/>
            </w:tcBorders>
            <w:shd w:val="clear" w:color="000000" w:fill="DDEBF7"/>
            <w:vAlign w:val="center"/>
            <w:hideMark/>
          </w:tcPr>
          <w:p w14:paraId="1BEDA85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075ECFE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B5B2F7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5438611D"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11F26590"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05994D91"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73FFAF92"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60_6</w:t>
            </w:r>
          </w:p>
        </w:tc>
        <w:tc>
          <w:tcPr>
            <w:tcW w:w="1715" w:type="dxa"/>
            <w:tcBorders>
              <w:top w:val="nil"/>
              <w:left w:val="nil"/>
              <w:bottom w:val="single" w:sz="4" w:space="0" w:color="auto"/>
              <w:right w:val="single" w:sz="4" w:space="0" w:color="auto"/>
            </w:tcBorders>
            <w:shd w:val="clear" w:color="auto" w:fill="auto"/>
            <w:vAlign w:val="center"/>
            <w:hideMark/>
          </w:tcPr>
          <w:p w14:paraId="32FF5DEA"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9C2A6D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e) SERIES: If there is the indication ‘‘series’’ in the tax element, the field is completed with the corresponding alphanumeric characters. In the case where there is no series, it is filled in with the value of 0. </w:t>
            </w:r>
          </w:p>
        </w:tc>
        <w:tc>
          <w:tcPr>
            <w:tcW w:w="925" w:type="dxa"/>
            <w:tcBorders>
              <w:top w:val="nil"/>
              <w:left w:val="nil"/>
              <w:bottom w:val="single" w:sz="4" w:space="0" w:color="auto"/>
              <w:right w:val="single" w:sz="4" w:space="0" w:color="auto"/>
            </w:tcBorders>
            <w:shd w:val="clear" w:color="000000" w:fill="DDEBF7"/>
            <w:vAlign w:val="center"/>
            <w:hideMark/>
          </w:tcPr>
          <w:p w14:paraId="0B86340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3685FE4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D78C38E"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CF30FA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03AC572F"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7C329ADC"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14:paraId="65415C96"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60_7</w:t>
            </w:r>
          </w:p>
        </w:tc>
        <w:tc>
          <w:tcPr>
            <w:tcW w:w="1715" w:type="dxa"/>
            <w:tcBorders>
              <w:top w:val="nil"/>
              <w:left w:val="nil"/>
              <w:bottom w:val="single" w:sz="4" w:space="0" w:color="auto"/>
              <w:right w:val="single" w:sz="4" w:space="0" w:color="auto"/>
            </w:tcBorders>
            <w:shd w:val="clear" w:color="auto" w:fill="auto"/>
            <w:vAlign w:val="center"/>
            <w:hideMark/>
          </w:tcPr>
          <w:p w14:paraId="1789C714" w14:textId="77777777" w:rsidR="00D678A7" w:rsidRPr="00A240A3" w:rsidRDefault="00D678A7" w:rsidP="00D678A7">
            <w:pPr>
              <w:spacing w:after="0" w:line="240" w:lineRule="auto"/>
              <w:jc w:val="center"/>
              <w:rPr>
                <w:rFonts w:ascii="Calibri" w:eastAsia="Times New Roman" w:hAnsi="Calibri" w:cs="Calibri"/>
                <w:sz w:val="20"/>
                <w:szCs w:val="20"/>
                <w:lang w:eastAsia="el-GR"/>
              </w:rPr>
            </w:pPr>
            <w:r w:rsidRPr="00A240A3">
              <w:rPr>
                <w:rFonts w:ascii="Calibri" w:eastAsia="Times New Roman" w:hAnsi="Calibri" w:cs="Calibri"/>
                <w:sz w:val="20"/>
                <w:szCs w:val="20"/>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1BA702EA"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f) NUMBER: The serial number of the issued tax document.</w:t>
            </w:r>
          </w:p>
        </w:tc>
        <w:tc>
          <w:tcPr>
            <w:tcW w:w="925" w:type="dxa"/>
            <w:tcBorders>
              <w:top w:val="nil"/>
              <w:left w:val="nil"/>
              <w:bottom w:val="single" w:sz="4" w:space="0" w:color="auto"/>
              <w:right w:val="single" w:sz="4" w:space="0" w:color="auto"/>
            </w:tcBorders>
            <w:shd w:val="clear" w:color="000000" w:fill="DDEBF7"/>
            <w:vAlign w:val="center"/>
            <w:hideMark/>
          </w:tcPr>
          <w:p w14:paraId="71278AC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1503978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5D83E74"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3E0B505"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tcBorders>
              <w:top w:val="nil"/>
              <w:left w:val="single" w:sz="4" w:space="0" w:color="auto"/>
              <w:bottom w:val="single" w:sz="4" w:space="0" w:color="auto"/>
              <w:right w:val="single" w:sz="4" w:space="0" w:color="auto"/>
            </w:tcBorders>
            <w:vAlign w:val="center"/>
            <w:hideMark/>
          </w:tcPr>
          <w:p w14:paraId="2E8D423B" w14:textId="77777777" w:rsidR="00D678A7" w:rsidRPr="00A240A3" w:rsidRDefault="00D678A7" w:rsidP="00D678A7">
            <w:pPr>
              <w:spacing w:after="0" w:line="240" w:lineRule="auto"/>
              <w:rPr>
                <w:rFonts w:ascii="Calibri" w:eastAsia="Times New Roman" w:hAnsi="Calibri" w:cs="Calibri"/>
                <w:color w:val="000000"/>
                <w:sz w:val="20"/>
                <w:szCs w:val="20"/>
                <w:lang w:eastAsia="el-GR"/>
              </w:rPr>
            </w:pPr>
          </w:p>
        </w:tc>
      </w:tr>
      <w:tr w:rsidR="00D678A7" w:rsidRPr="00A240A3" w14:paraId="73BAFDE7"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3C6BEA6D"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61</w:t>
            </w:r>
          </w:p>
        </w:tc>
        <w:tc>
          <w:tcPr>
            <w:tcW w:w="1715" w:type="dxa"/>
            <w:tcBorders>
              <w:top w:val="nil"/>
              <w:left w:val="nil"/>
              <w:bottom w:val="single" w:sz="4" w:space="0" w:color="auto"/>
              <w:right w:val="single" w:sz="4" w:space="0" w:color="auto"/>
            </w:tcBorders>
            <w:shd w:val="clear" w:color="auto" w:fill="auto"/>
            <w:vAlign w:val="center"/>
            <w:hideMark/>
          </w:tcPr>
          <w:p w14:paraId="130D1EDC"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7965876E"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eastAsia="el-GR"/>
              </w:rPr>
              <w:t>Β</w:t>
            </w:r>
            <w:r w:rsidRPr="00A240A3">
              <w:rPr>
                <w:rFonts w:ascii="Calibri" w:eastAsia="Times New Roman" w:hAnsi="Calibri" w:cs="Calibri"/>
                <w:sz w:val="20"/>
                <w:szCs w:val="20"/>
                <w:lang w:val="en-US" w:eastAsia="el-GR"/>
              </w:rPr>
              <w:t>3. Data transmitted to the IAPR</w:t>
            </w:r>
          </w:p>
        </w:tc>
        <w:tc>
          <w:tcPr>
            <w:tcW w:w="925" w:type="dxa"/>
            <w:tcBorders>
              <w:top w:val="nil"/>
              <w:left w:val="nil"/>
              <w:bottom w:val="single" w:sz="4" w:space="0" w:color="auto"/>
              <w:right w:val="single" w:sz="4" w:space="0" w:color="auto"/>
            </w:tcBorders>
            <w:shd w:val="clear" w:color="000000" w:fill="DDEBF7"/>
            <w:vAlign w:val="center"/>
            <w:hideMark/>
          </w:tcPr>
          <w:p w14:paraId="470978E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171009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vAlign w:val="center"/>
            <w:hideMark/>
          </w:tcPr>
          <w:p w14:paraId="772FF77E"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c>
          <w:tcPr>
            <w:tcW w:w="937" w:type="dxa"/>
            <w:tcBorders>
              <w:top w:val="nil"/>
              <w:left w:val="nil"/>
              <w:bottom w:val="single" w:sz="4" w:space="0" w:color="auto"/>
              <w:right w:val="single" w:sz="4" w:space="0" w:color="auto"/>
            </w:tcBorders>
            <w:shd w:val="clear" w:color="auto" w:fill="auto"/>
            <w:vAlign w:val="center"/>
            <w:hideMark/>
          </w:tcPr>
          <w:p w14:paraId="063692CA"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c>
          <w:tcPr>
            <w:tcW w:w="985" w:type="dxa"/>
            <w:tcBorders>
              <w:top w:val="nil"/>
              <w:left w:val="nil"/>
              <w:bottom w:val="single" w:sz="4" w:space="0" w:color="auto"/>
              <w:right w:val="single" w:sz="4" w:space="0" w:color="auto"/>
            </w:tcBorders>
            <w:shd w:val="clear" w:color="auto" w:fill="auto"/>
            <w:vAlign w:val="center"/>
            <w:hideMark/>
          </w:tcPr>
          <w:p w14:paraId="76AA0627"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A240A3" w14:paraId="18520FDD"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67AB6AF2"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61_1</w:t>
            </w:r>
          </w:p>
        </w:tc>
        <w:tc>
          <w:tcPr>
            <w:tcW w:w="1715" w:type="dxa"/>
            <w:tcBorders>
              <w:top w:val="nil"/>
              <w:left w:val="nil"/>
              <w:bottom w:val="single" w:sz="4" w:space="0" w:color="auto"/>
              <w:right w:val="single" w:sz="4" w:space="0" w:color="auto"/>
            </w:tcBorders>
            <w:shd w:val="clear" w:color="auto" w:fill="auto"/>
            <w:vAlign w:val="center"/>
            <w:hideMark/>
          </w:tcPr>
          <w:p w14:paraId="3632B2A3"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1FBE032"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On the IAPR website https://www.aade.gr/mydata/tehnikes-prodiagrafes-ekdoseis-mydata the following are posted:</w:t>
            </w:r>
          </w:p>
        </w:tc>
        <w:tc>
          <w:tcPr>
            <w:tcW w:w="925" w:type="dxa"/>
            <w:tcBorders>
              <w:top w:val="nil"/>
              <w:left w:val="nil"/>
              <w:bottom w:val="single" w:sz="4" w:space="0" w:color="auto"/>
              <w:right w:val="single" w:sz="4" w:space="0" w:color="auto"/>
            </w:tcBorders>
            <w:shd w:val="clear" w:color="000000" w:fill="DDEBF7"/>
            <w:vAlign w:val="center"/>
            <w:hideMark/>
          </w:tcPr>
          <w:p w14:paraId="46D4B4DB"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692B1577"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34E3634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1263731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C439905"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A240A3" w14:paraId="2F499551"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1F3749DC"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61_2</w:t>
            </w:r>
          </w:p>
        </w:tc>
        <w:tc>
          <w:tcPr>
            <w:tcW w:w="1715" w:type="dxa"/>
            <w:tcBorders>
              <w:top w:val="nil"/>
              <w:left w:val="nil"/>
              <w:bottom w:val="single" w:sz="4" w:space="0" w:color="auto"/>
              <w:right w:val="single" w:sz="4" w:space="0" w:color="auto"/>
            </w:tcBorders>
            <w:shd w:val="clear" w:color="auto" w:fill="auto"/>
            <w:vAlign w:val="center"/>
            <w:hideMark/>
          </w:tcPr>
          <w:p w14:paraId="271935B8"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0D2EA18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a) The format of the document summary, which contains the data of tax interest sent to IAPR and the format of the characterizations for each element issued electronically through "“Y.PA.H.E.S.” / E.D.I.S.P.".</w:t>
            </w:r>
          </w:p>
        </w:tc>
        <w:tc>
          <w:tcPr>
            <w:tcW w:w="925" w:type="dxa"/>
            <w:tcBorders>
              <w:top w:val="nil"/>
              <w:left w:val="nil"/>
              <w:bottom w:val="single" w:sz="4" w:space="0" w:color="auto"/>
              <w:right w:val="single" w:sz="4" w:space="0" w:color="auto"/>
            </w:tcBorders>
            <w:shd w:val="clear" w:color="000000" w:fill="DDEBF7"/>
            <w:vAlign w:val="center"/>
            <w:hideMark/>
          </w:tcPr>
          <w:p w14:paraId="50F83932"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5DB71BF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54B9972B"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EE939CA"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045AED2D"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A240A3" w14:paraId="2291D8AB" w14:textId="77777777" w:rsidTr="00D678A7">
        <w:trPr>
          <w:trHeight w:val="375"/>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34F20038"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61_3</w:t>
            </w:r>
          </w:p>
        </w:tc>
        <w:tc>
          <w:tcPr>
            <w:tcW w:w="1715" w:type="dxa"/>
            <w:tcBorders>
              <w:top w:val="nil"/>
              <w:left w:val="nil"/>
              <w:bottom w:val="single" w:sz="4" w:space="0" w:color="auto"/>
              <w:right w:val="single" w:sz="4" w:space="0" w:color="auto"/>
            </w:tcBorders>
            <w:shd w:val="clear" w:color="auto" w:fill="auto"/>
            <w:vAlign w:val="center"/>
            <w:hideMark/>
          </w:tcPr>
          <w:p w14:paraId="42FF3C3C"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4B6A61C"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b) Technical descriptions of the “</w:t>
            </w:r>
            <w:proofErr w:type="spellStart"/>
            <w:r w:rsidRPr="00A240A3">
              <w:rPr>
                <w:rFonts w:ascii="Calibri" w:eastAsia="Times New Roman" w:hAnsi="Calibri" w:cs="Calibri"/>
                <w:sz w:val="20"/>
                <w:szCs w:val="20"/>
                <w:lang w:val="en-US" w:eastAsia="el-GR"/>
              </w:rPr>
              <w:t>myDATA</w:t>
            </w:r>
            <w:proofErr w:type="spellEnd"/>
            <w:r w:rsidRPr="00A240A3">
              <w:rPr>
                <w:rFonts w:ascii="Calibri" w:eastAsia="Times New Roman" w:hAnsi="Calibri" w:cs="Calibri"/>
                <w:sz w:val="20"/>
                <w:szCs w:val="20"/>
                <w:lang w:val="en-US" w:eastAsia="el-GR"/>
              </w:rPr>
              <w:t xml:space="preserve"> REST API” interface for the transmission of document data to the IAPR.</w:t>
            </w:r>
          </w:p>
        </w:tc>
        <w:tc>
          <w:tcPr>
            <w:tcW w:w="925" w:type="dxa"/>
            <w:tcBorders>
              <w:top w:val="nil"/>
              <w:left w:val="nil"/>
              <w:bottom w:val="single" w:sz="4" w:space="0" w:color="auto"/>
              <w:right w:val="single" w:sz="4" w:space="0" w:color="auto"/>
            </w:tcBorders>
            <w:shd w:val="clear" w:color="000000" w:fill="DDEBF7"/>
            <w:vAlign w:val="center"/>
            <w:hideMark/>
          </w:tcPr>
          <w:p w14:paraId="7E0F519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2CBB053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1DC51CA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2DE7FEB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vAlign w:val="center"/>
            <w:hideMark/>
          </w:tcPr>
          <w:p w14:paraId="38229A9A"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FC1F39" w14:paraId="130A10A9" w14:textId="77777777" w:rsidTr="00D678A7">
        <w:trPr>
          <w:trHeight w:val="510"/>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5031DFFA"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62</w:t>
            </w:r>
          </w:p>
        </w:tc>
        <w:tc>
          <w:tcPr>
            <w:tcW w:w="1715" w:type="dxa"/>
            <w:tcBorders>
              <w:top w:val="nil"/>
              <w:left w:val="nil"/>
              <w:bottom w:val="single" w:sz="4" w:space="0" w:color="auto"/>
              <w:right w:val="single" w:sz="4" w:space="0" w:color="auto"/>
            </w:tcBorders>
            <w:shd w:val="clear" w:color="auto" w:fill="auto"/>
            <w:vAlign w:val="center"/>
            <w:hideMark/>
          </w:tcPr>
          <w:p w14:paraId="246A5B14"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ANNEX C</w:t>
            </w:r>
          </w:p>
        </w:tc>
        <w:tc>
          <w:tcPr>
            <w:tcW w:w="7157" w:type="dxa"/>
            <w:tcBorders>
              <w:top w:val="nil"/>
              <w:left w:val="nil"/>
              <w:bottom w:val="single" w:sz="4" w:space="0" w:color="auto"/>
              <w:right w:val="single" w:sz="4" w:space="0" w:color="auto"/>
            </w:tcBorders>
            <w:shd w:val="clear" w:color="auto" w:fill="auto"/>
            <w:vAlign w:val="center"/>
            <w:hideMark/>
          </w:tcPr>
          <w:p w14:paraId="1F34DF44"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Stages of the Licensing Process of the Electronic Data Issuance Service Providers – EDISP</w:t>
            </w:r>
            <w:r w:rsidRPr="00A240A3">
              <w:rPr>
                <w:rFonts w:ascii="Calibri" w:eastAsia="Times New Roman" w:hAnsi="Calibri" w:cs="Calibri"/>
                <w:sz w:val="20"/>
                <w:szCs w:val="20"/>
                <w:lang w:val="en-US" w:eastAsia="el-GR"/>
              </w:rPr>
              <w:br/>
              <w:t>1. 1. To initiate the 1st stage of the licensing process, Providers shall submit to the Committee the following:</w:t>
            </w:r>
          </w:p>
        </w:tc>
        <w:tc>
          <w:tcPr>
            <w:tcW w:w="925" w:type="dxa"/>
            <w:tcBorders>
              <w:top w:val="nil"/>
              <w:left w:val="nil"/>
              <w:bottom w:val="single" w:sz="4" w:space="0" w:color="auto"/>
              <w:right w:val="single" w:sz="4" w:space="0" w:color="auto"/>
            </w:tcBorders>
            <w:shd w:val="clear" w:color="auto" w:fill="auto"/>
            <w:vAlign w:val="center"/>
            <w:hideMark/>
          </w:tcPr>
          <w:p w14:paraId="4A65F4BE" w14:textId="77777777" w:rsidR="00D678A7" w:rsidRPr="00A240A3" w:rsidRDefault="00D678A7" w:rsidP="00D678A7">
            <w:pPr>
              <w:spacing w:after="0" w:line="240" w:lineRule="auto"/>
              <w:rPr>
                <w:rFonts w:ascii="Calibri" w:eastAsia="Times New Roman" w:hAnsi="Calibri" w:cs="Calibri"/>
                <w:color w:val="FF0000"/>
                <w:sz w:val="20"/>
                <w:szCs w:val="20"/>
                <w:lang w:val="en-US" w:eastAsia="el-GR"/>
              </w:rPr>
            </w:pPr>
            <w:r w:rsidRPr="00A240A3">
              <w:rPr>
                <w:rFonts w:ascii="Calibri" w:eastAsia="Times New Roman" w:hAnsi="Calibri" w:cs="Calibri"/>
                <w:color w:val="FF0000"/>
                <w:sz w:val="20"/>
                <w:szCs w:val="20"/>
                <w:lang w:val="en-US" w:eastAsia="el-GR"/>
              </w:rPr>
              <w:t> </w:t>
            </w:r>
          </w:p>
        </w:tc>
        <w:tc>
          <w:tcPr>
            <w:tcW w:w="1384" w:type="dxa"/>
            <w:tcBorders>
              <w:top w:val="nil"/>
              <w:left w:val="nil"/>
              <w:bottom w:val="single" w:sz="4" w:space="0" w:color="auto"/>
              <w:right w:val="single" w:sz="4" w:space="0" w:color="auto"/>
            </w:tcBorders>
            <w:shd w:val="clear" w:color="auto" w:fill="auto"/>
            <w:vAlign w:val="center"/>
            <w:hideMark/>
          </w:tcPr>
          <w:p w14:paraId="446AE9FA" w14:textId="77777777" w:rsidR="00D678A7" w:rsidRPr="00A240A3" w:rsidRDefault="00D678A7" w:rsidP="00D678A7">
            <w:pPr>
              <w:spacing w:after="0" w:line="240" w:lineRule="auto"/>
              <w:rPr>
                <w:rFonts w:ascii="Calibri" w:eastAsia="Times New Roman" w:hAnsi="Calibri" w:cs="Calibri"/>
                <w:color w:val="FF0000"/>
                <w:sz w:val="20"/>
                <w:szCs w:val="20"/>
                <w:lang w:val="en-US" w:eastAsia="el-GR"/>
              </w:rPr>
            </w:pPr>
            <w:r w:rsidRPr="00A240A3">
              <w:rPr>
                <w:rFonts w:ascii="Calibri" w:eastAsia="Times New Roman" w:hAnsi="Calibri" w:cs="Calibri"/>
                <w:color w:val="FF0000"/>
                <w:sz w:val="20"/>
                <w:szCs w:val="20"/>
                <w:lang w:val="en-US" w:eastAsia="el-GR"/>
              </w:rPr>
              <w:t> </w:t>
            </w:r>
          </w:p>
        </w:tc>
        <w:tc>
          <w:tcPr>
            <w:tcW w:w="1191" w:type="dxa"/>
            <w:tcBorders>
              <w:top w:val="nil"/>
              <w:left w:val="nil"/>
              <w:bottom w:val="single" w:sz="4" w:space="0" w:color="auto"/>
              <w:right w:val="single" w:sz="4" w:space="0" w:color="auto"/>
            </w:tcBorders>
            <w:shd w:val="clear" w:color="auto" w:fill="auto"/>
            <w:noWrap/>
            <w:vAlign w:val="center"/>
            <w:hideMark/>
          </w:tcPr>
          <w:p w14:paraId="549EE433" w14:textId="77777777" w:rsidR="00D678A7" w:rsidRPr="00A240A3" w:rsidRDefault="00D678A7" w:rsidP="00D678A7">
            <w:pPr>
              <w:spacing w:after="0" w:line="240" w:lineRule="auto"/>
              <w:jc w:val="center"/>
              <w:rPr>
                <w:rFonts w:ascii="Calibri" w:eastAsia="Times New Roman" w:hAnsi="Calibri" w:cs="Calibri"/>
                <w:color w:val="000000"/>
                <w:lang w:val="en-US" w:eastAsia="el-GR"/>
              </w:rPr>
            </w:pPr>
            <w:r w:rsidRPr="00A240A3">
              <w:rPr>
                <w:rFonts w:ascii="Calibri" w:eastAsia="Times New Roman" w:hAnsi="Calibri" w:cs="Calibri"/>
                <w:color w:val="000000"/>
                <w:lang w:val="en-US" w:eastAsia="el-GR"/>
              </w:rPr>
              <w:t> </w:t>
            </w:r>
          </w:p>
        </w:tc>
        <w:tc>
          <w:tcPr>
            <w:tcW w:w="937" w:type="dxa"/>
            <w:tcBorders>
              <w:top w:val="nil"/>
              <w:left w:val="nil"/>
              <w:bottom w:val="single" w:sz="4" w:space="0" w:color="auto"/>
              <w:right w:val="single" w:sz="4" w:space="0" w:color="auto"/>
            </w:tcBorders>
            <w:shd w:val="clear" w:color="auto" w:fill="auto"/>
            <w:noWrap/>
            <w:vAlign w:val="center"/>
            <w:hideMark/>
          </w:tcPr>
          <w:p w14:paraId="6EA56432" w14:textId="77777777" w:rsidR="00D678A7" w:rsidRPr="00A240A3" w:rsidRDefault="00D678A7" w:rsidP="00D678A7">
            <w:pPr>
              <w:spacing w:after="0" w:line="240" w:lineRule="auto"/>
              <w:jc w:val="center"/>
              <w:rPr>
                <w:rFonts w:ascii="Calibri" w:eastAsia="Times New Roman" w:hAnsi="Calibri" w:cs="Calibri"/>
                <w:color w:val="000000"/>
                <w:lang w:val="en-US" w:eastAsia="el-GR"/>
              </w:rPr>
            </w:pPr>
            <w:r w:rsidRPr="00A240A3">
              <w:rPr>
                <w:rFonts w:ascii="Calibri" w:eastAsia="Times New Roman" w:hAnsi="Calibri" w:cs="Calibri"/>
                <w:color w:val="000000"/>
                <w:lang w:val="en-US" w:eastAsia="el-GR"/>
              </w:rPr>
              <w:t> </w:t>
            </w:r>
          </w:p>
        </w:tc>
        <w:tc>
          <w:tcPr>
            <w:tcW w:w="985" w:type="dxa"/>
            <w:tcBorders>
              <w:top w:val="nil"/>
              <w:left w:val="nil"/>
              <w:bottom w:val="single" w:sz="4" w:space="0" w:color="auto"/>
              <w:right w:val="single" w:sz="4" w:space="0" w:color="auto"/>
            </w:tcBorders>
            <w:shd w:val="clear" w:color="auto" w:fill="auto"/>
            <w:noWrap/>
            <w:vAlign w:val="center"/>
            <w:hideMark/>
          </w:tcPr>
          <w:p w14:paraId="5A01D30A" w14:textId="77777777" w:rsidR="00D678A7" w:rsidRPr="00A240A3" w:rsidRDefault="00D678A7" w:rsidP="00D678A7">
            <w:pPr>
              <w:spacing w:after="0" w:line="240" w:lineRule="auto"/>
              <w:jc w:val="center"/>
              <w:rPr>
                <w:rFonts w:ascii="Calibri" w:eastAsia="Times New Roman" w:hAnsi="Calibri" w:cs="Calibri"/>
                <w:color w:val="000000"/>
                <w:lang w:val="en-US" w:eastAsia="el-GR"/>
              </w:rPr>
            </w:pPr>
            <w:r w:rsidRPr="00A240A3">
              <w:rPr>
                <w:rFonts w:ascii="Calibri" w:eastAsia="Times New Roman" w:hAnsi="Calibri" w:cs="Calibri"/>
                <w:color w:val="000000"/>
                <w:lang w:val="en-US" w:eastAsia="el-GR"/>
              </w:rPr>
              <w:t> </w:t>
            </w:r>
          </w:p>
        </w:tc>
      </w:tr>
      <w:tr w:rsidR="00D678A7" w:rsidRPr="00A240A3" w14:paraId="718EF8E4" w14:textId="77777777" w:rsidTr="00D678A7">
        <w:trPr>
          <w:trHeight w:val="765"/>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042DD7B3"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62_1</w:t>
            </w:r>
          </w:p>
        </w:tc>
        <w:tc>
          <w:tcPr>
            <w:tcW w:w="1715" w:type="dxa"/>
            <w:tcBorders>
              <w:top w:val="nil"/>
              <w:left w:val="nil"/>
              <w:bottom w:val="single" w:sz="4" w:space="0" w:color="auto"/>
              <w:right w:val="single" w:sz="4" w:space="0" w:color="auto"/>
            </w:tcBorders>
            <w:shd w:val="clear" w:color="auto" w:fill="auto"/>
            <w:noWrap/>
            <w:vAlign w:val="center"/>
            <w:hideMark/>
          </w:tcPr>
          <w:p w14:paraId="6DB89942"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5DDC71C2"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a) Technical methodology for issuing documents and transmitting data: The supporting document shall be submitted in portable document format (PDF). The analysis of the technical methodology shall also include the documentation of the interconnection method based on the Basic Interconnection Rule as defined in decision A.1155/2023.</w:t>
            </w:r>
          </w:p>
        </w:tc>
        <w:tc>
          <w:tcPr>
            <w:tcW w:w="925" w:type="dxa"/>
            <w:tcBorders>
              <w:top w:val="nil"/>
              <w:left w:val="nil"/>
              <w:bottom w:val="single" w:sz="4" w:space="0" w:color="auto"/>
              <w:right w:val="single" w:sz="4" w:space="0" w:color="auto"/>
            </w:tcBorders>
            <w:shd w:val="clear" w:color="000000" w:fill="DDEBF7"/>
            <w:vAlign w:val="center"/>
            <w:hideMark/>
          </w:tcPr>
          <w:p w14:paraId="6D05182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77DB4D0"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2C8E8593"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72A73589"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13BDC082"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A240A3" w14:paraId="7E43BD11" w14:textId="77777777" w:rsidTr="00B4365F">
        <w:trPr>
          <w:trHeight w:val="765"/>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14EF2F7A"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62_2</w:t>
            </w:r>
          </w:p>
        </w:tc>
        <w:tc>
          <w:tcPr>
            <w:tcW w:w="1715" w:type="dxa"/>
            <w:tcBorders>
              <w:top w:val="nil"/>
              <w:left w:val="nil"/>
              <w:bottom w:val="single" w:sz="4" w:space="0" w:color="auto"/>
              <w:right w:val="single" w:sz="4" w:space="0" w:color="auto"/>
            </w:tcBorders>
            <w:shd w:val="clear" w:color="auto" w:fill="auto"/>
            <w:noWrap/>
            <w:vAlign w:val="center"/>
            <w:hideMark/>
          </w:tcPr>
          <w:p w14:paraId="36FD1D7C"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760E06F"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 xml:space="preserve">b) Compliance Tables with respect to the obligations described in article 5. The supporting document shall be submitted in portable document format and shall indicate the method and the documents that evidence the fulfillment of each </w:t>
            </w:r>
            <w:r w:rsidRPr="00A240A3">
              <w:rPr>
                <w:rFonts w:ascii="Calibri" w:eastAsia="Times New Roman" w:hAnsi="Calibri" w:cs="Calibri"/>
                <w:sz w:val="20"/>
                <w:szCs w:val="20"/>
                <w:lang w:val="en-US" w:eastAsia="el-GR"/>
              </w:rPr>
              <w:lastRenderedPageBreak/>
              <w:t>obligation. To assist candidate Providers, the Committee may send samples of the relevant Tables for completion.</w:t>
            </w:r>
          </w:p>
        </w:tc>
        <w:tc>
          <w:tcPr>
            <w:tcW w:w="925" w:type="dxa"/>
            <w:tcBorders>
              <w:top w:val="nil"/>
              <w:left w:val="nil"/>
              <w:bottom w:val="single" w:sz="4" w:space="0" w:color="auto"/>
              <w:right w:val="single" w:sz="4" w:space="0" w:color="auto"/>
            </w:tcBorders>
            <w:shd w:val="clear" w:color="000000" w:fill="DDEBF7"/>
            <w:vAlign w:val="center"/>
            <w:hideMark/>
          </w:tcPr>
          <w:p w14:paraId="4A8ED99E"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lastRenderedPageBreak/>
              <w:t>√</w:t>
            </w:r>
          </w:p>
        </w:tc>
        <w:tc>
          <w:tcPr>
            <w:tcW w:w="1384" w:type="dxa"/>
            <w:tcBorders>
              <w:top w:val="nil"/>
              <w:left w:val="nil"/>
              <w:bottom w:val="single" w:sz="4" w:space="0" w:color="auto"/>
              <w:right w:val="single" w:sz="4" w:space="0" w:color="auto"/>
            </w:tcBorders>
            <w:shd w:val="clear" w:color="000000" w:fill="DDEBF7"/>
            <w:vAlign w:val="center"/>
            <w:hideMark/>
          </w:tcPr>
          <w:p w14:paraId="653F4D53"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191" w:type="dxa"/>
            <w:tcBorders>
              <w:top w:val="nil"/>
              <w:left w:val="nil"/>
              <w:bottom w:val="single" w:sz="4" w:space="0" w:color="auto"/>
              <w:right w:val="single" w:sz="4" w:space="0" w:color="auto"/>
            </w:tcBorders>
            <w:shd w:val="clear" w:color="auto" w:fill="auto"/>
            <w:noWrap/>
            <w:vAlign w:val="center"/>
            <w:hideMark/>
          </w:tcPr>
          <w:p w14:paraId="48865B9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6573B186"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226E5871"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A240A3" w14:paraId="2D40B0FD" w14:textId="77777777" w:rsidTr="00B4365F">
        <w:trPr>
          <w:trHeight w:val="7200"/>
        </w:trPr>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07B92319"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62_3</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43B8A"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single" w:sz="4" w:space="0" w:color="auto"/>
              <w:left w:val="nil"/>
              <w:bottom w:val="single" w:sz="4" w:space="0" w:color="auto"/>
              <w:right w:val="single" w:sz="4" w:space="0" w:color="auto"/>
            </w:tcBorders>
            <w:shd w:val="clear" w:color="auto" w:fill="auto"/>
            <w:vAlign w:val="center"/>
            <w:hideMark/>
          </w:tcPr>
          <w:p w14:paraId="3FED0595" w14:textId="147DA924" w:rsidR="00D678A7" w:rsidRPr="00A240A3" w:rsidRDefault="00D678A7" w:rsidP="00D678A7">
            <w:pPr>
              <w:spacing w:after="0" w:line="240" w:lineRule="auto"/>
              <w:rPr>
                <w:rFonts w:ascii="Calibri" w:eastAsia="Times New Roman" w:hAnsi="Calibri" w:cs="Calibri"/>
                <w:sz w:val="18"/>
                <w:szCs w:val="18"/>
                <w:lang w:val="en-US" w:eastAsia="el-GR"/>
              </w:rPr>
            </w:pPr>
            <w:r w:rsidRPr="00A240A3">
              <w:rPr>
                <w:rFonts w:ascii="Calibri" w:eastAsia="Times New Roman" w:hAnsi="Calibri" w:cs="Calibri"/>
                <w:sz w:val="18"/>
                <w:szCs w:val="18"/>
                <w:lang w:val="en-US" w:eastAsia="el-GR"/>
              </w:rPr>
              <w:t>c) Samples of the following types of documents transmitted to the digital platform "</w:t>
            </w:r>
            <w:proofErr w:type="spellStart"/>
            <w:r w:rsidRPr="00A240A3">
              <w:rPr>
                <w:rFonts w:ascii="Calibri" w:eastAsia="Times New Roman" w:hAnsi="Calibri" w:cs="Calibri"/>
                <w:sz w:val="18"/>
                <w:szCs w:val="18"/>
                <w:lang w:val="en-US" w:eastAsia="el-GR"/>
              </w:rPr>
              <w:t>myDATA</w:t>
            </w:r>
            <w:proofErr w:type="spellEnd"/>
            <w:r w:rsidRPr="00A240A3">
              <w:rPr>
                <w:rFonts w:ascii="Calibri" w:eastAsia="Times New Roman" w:hAnsi="Calibri" w:cs="Calibri"/>
                <w:sz w:val="18"/>
                <w:szCs w:val="18"/>
                <w:lang w:val="en-US" w:eastAsia="el-GR"/>
              </w:rPr>
              <w:t>", except in the case of licensing of Self-Providers who send the types of documents included in their licensing application.</w:t>
            </w:r>
            <w:r w:rsidRPr="00A240A3">
              <w:rPr>
                <w:rFonts w:ascii="Calibri" w:eastAsia="Times New Roman" w:hAnsi="Calibri" w:cs="Calibri"/>
                <w:sz w:val="18"/>
                <w:szCs w:val="18"/>
                <w:lang w:val="en-US" w:eastAsia="el-GR"/>
              </w:rPr>
              <w:br/>
            </w:r>
            <w:proofErr w:type="spellStart"/>
            <w:r w:rsidRPr="00A240A3">
              <w:rPr>
                <w:rFonts w:ascii="Calibri" w:eastAsia="Times New Roman" w:hAnsi="Calibri" w:cs="Calibri"/>
                <w:sz w:val="18"/>
                <w:szCs w:val="18"/>
                <w:lang w:val="en-US" w:eastAsia="el-GR"/>
              </w:rPr>
              <w:t>i</w:t>
            </w:r>
            <w:proofErr w:type="spellEnd"/>
            <w:r w:rsidRPr="00A240A3">
              <w:rPr>
                <w:rFonts w:ascii="Calibri" w:eastAsia="Times New Roman" w:hAnsi="Calibri" w:cs="Calibri"/>
                <w:sz w:val="18"/>
                <w:szCs w:val="18"/>
                <w:lang w:val="en-US" w:eastAsia="el-GR"/>
              </w:rPr>
              <w:t>) 1.1 - Sales Invoice</w:t>
            </w:r>
            <w:r w:rsidRPr="00A240A3">
              <w:rPr>
                <w:rFonts w:ascii="Calibri" w:eastAsia="Times New Roman" w:hAnsi="Calibri" w:cs="Calibri"/>
                <w:sz w:val="18"/>
                <w:szCs w:val="18"/>
                <w:lang w:val="en-US" w:eastAsia="el-GR"/>
              </w:rPr>
              <w:br/>
              <w:t>ii) 1.1 - Sales Invoice_ Inventory Transfer</w:t>
            </w:r>
            <w:r w:rsidRPr="00A240A3">
              <w:rPr>
                <w:rFonts w:ascii="Calibri" w:eastAsia="Times New Roman" w:hAnsi="Calibri" w:cs="Calibri"/>
                <w:sz w:val="18"/>
                <w:szCs w:val="18"/>
                <w:lang w:val="en-US" w:eastAsia="el-GR"/>
              </w:rPr>
              <w:br/>
              <w:t>iii) 1.2 - Sales Invoice / Intra-Community Supplies</w:t>
            </w:r>
            <w:r w:rsidRPr="00A240A3">
              <w:rPr>
                <w:rFonts w:ascii="Calibri" w:eastAsia="Times New Roman" w:hAnsi="Calibri" w:cs="Calibri"/>
                <w:sz w:val="18"/>
                <w:szCs w:val="18"/>
                <w:lang w:val="en-US" w:eastAsia="el-GR"/>
              </w:rPr>
              <w:br/>
              <w:t xml:space="preserve">iv) 1.2 - Sales Invoice / Intra-Community </w:t>
            </w:r>
            <w:proofErr w:type="spellStart"/>
            <w:r w:rsidRPr="00A240A3">
              <w:rPr>
                <w:rFonts w:ascii="Calibri" w:eastAsia="Times New Roman" w:hAnsi="Calibri" w:cs="Calibri"/>
                <w:sz w:val="18"/>
                <w:szCs w:val="18"/>
                <w:lang w:val="en-US" w:eastAsia="el-GR"/>
              </w:rPr>
              <w:t>Supplies_Inventory</w:t>
            </w:r>
            <w:proofErr w:type="spellEnd"/>
            <w:r w:rsidRPr="00A240A3">
              <w:rPr>
                <w:rFonts w:ascii="Calibri" w:eastAsia="Times New Roman" w:hAnsi="Calibri" w:cs="Calibri"/>
                <w:sz w:val="18"/>
                <w:szCs w:val="18"/>
                <w:lang w:val="en-US" w:eastAsia="el-GR"/>
              </w:rPr>
              <w:t xml:space="preserve"> Transfer</w:t>
            </w:r>
            <w:r w:rsidRPr="00A240A3">
              <w:rPr>
                <w:rFonts w:ascii="Calibri" w:eastAsia="Times New Roman" w:hAnsi="Calibri" w:cs="Calibri"/>
                <w:sz w:val="18"/>
                <w:szCs w:val="18"/>
                <w:lang w:val="en-US" w:eastAsia="el-GR"/>
              </w:rPr>
              <w:br/>
              <w:t>v) 1.3 - Sales Invoice / Third Country Supplies</w:t>
            </w:r>
            <w:r w:rsidRPr="00A240A3">
              <w:rPr>
                <w:rFonts w:ascii="Calibri" w:eastAsia="Times New Roman" w:hAnsi="Calibri" w:cs="Calibri"/>
                <w:sz w:val="18"/>
                <w:szCs w:val="18"/>
                <w:lang w:val="en-US" w:eastAsia="el-GR"/>
              </w:rPr>
              <w:br/>
              <w:t>vi) 1.3 - Sales Invoice / Third Country Supplies_ Inventory Transfer</w:t>
            </w:r>
            <w:r w:rsidRPr="00A240A3">
              <w:rPr>
                <w:rFonts w:ascii="Calibri" w:eastAsia="Times New Roman" w:hAnsi="Calibri" w:cs="Calibri"/>
                <w:sz w:val="18"/>
                <w:szCs w:val="18"/>
                <w:lang w:val="en-US" w:eastAsia="el-GR"/>
              </w:rPr>
              <w:br/>
              <w:t>vii) 1.4 - Sales Invoice / Sale on behalf of Third Parties</w:t>
            </w:r>
            <w:r w:rsidRPr="00A240A3">
              <w:rPr>
                <w:rFonts w:ascii="Calibri" w:eastAsia="Times New Roman" w:hAnsi="Calibri" w:cs="Calibri"/>
                <w:sz w:val="18"/>
                <w:szCs w:val="18"/>
                <w:lang w:val="en-US" w:eastAsia="el-GR"/>
              </w:rPr>
              <w:br/>
              <w:t xml:space="preserve">viii) 1.4 - Sales Invoice / Sale on behalf of Third Parties_ Inventory Transfer </w:t>
            </w:r>
            <w:r w:rsidRPr="00A240A3">
              <w:rPr>
                <w:rFonts w:ascii="Calibri" w:eastAsia="Times New Roman" w:hAnsi="Calibri" w:cs="Calibri"/>
                <w:sz w:val="18"/>
                <w:szCs w:val="18"/>
                <w:lang w:val="en-US" w:eastAsia="el-GR"/>
              </w:rPr>
              <w:br/>
              <w:t>ix) 1.5 - Sales Invoice / Clearance of Third-Party Sales</w:t>
            </w:r>
            <w:r w:rsidRPr="00A240A3">
              <w:rPr>
                <w:rFonts w:ascii="Calibri" w:eastAsia="Times New Roman" w:hAnsi="Calibri" w:cs="Calibri"/>
                <w:sz w:val="18"/>
                <w:szCs w:val="18"/>
                <w:lang w:val="en-US" w:eastAsia="el-GR"/>
              </w:rPr>
              <w:br/>
              <w:t>x) 1.5 - Sales Invoice / Fee from Third Party Sales</w:t>
            </w:r>
            <w:r w:rsidRPr="00A240A3">
              <w:rPr>
                <w:rFonts w:ascii="Calibri" w:eastAsia="Times New Roman" w:hAnsi="Calibri" w:cs="Calibri"/>
                <w:sz w:val="18"/>
                <w:szCs w:val="18"/>
                <w:lang w:val="en-US" w:eastAsia="el-GR"/>
              </w:rPr>
              <w:br/>
              <w:t>xi) 1.6 - Sales Invoice / Supplementary Document</w:t>
            </w:r>
            <w:r w:rsidRPr="00A240A3">
              <w:rPr>
                <w:rFonts w:ascii="Calibri" w:eastAsia="Times New Roman" w:hAnsi="Calibri" w:cs="Calibri"/>
                <w:sz w:val="18"/>
                <w:szCs w:val="18"/>
                <w:lang w:val="en-US" w:eastAsia="el-GR"/>
              </w:rPr>
              <w:br/>
              <w:t>xii) 2.1 - Service Invoice</w:t>
            </w:r>
            <w:r w:rsidRPr="00A240A3">
              <w:rPr>
                <w:rFonts w:ascii="Calibri" w:eastAsia="Times New Roman" w:hAnsi="Calibri" w:cs="Calibri"/>
                <w:sz w:val="18"/>
                <w:szCs w:val="18"/>
                <w:lang w:val="en-US" w:eastAsia="el-GR"/>
              </w:rPr>
              <w:br/>
              <w:t>xiii) 2.2 - Service Invoice / Intra-Community Provision of Services</w:t>
            </w:r>
            <w:r w:rsidRPr="00A240A3">
              <w:rPr>
                <w:rFonts w:ascii="Calibri" w:eastAsia="Times New Roman" w:hAnsi="Calibri" w:cs="Calibri"/>
                <w:sz w:val="18"/>
                <w:szCs w:val="18"/>
                <w:lang w:val="en-US" w:eastAsia="el-GR"/>
              </w:rPr>
              <w:br/>
              <w:t>xiv) 2.3 - Service Invoice / Third Country Provision of Services</w:t>
            </w:r>
            <w:r w:rsidRPr="00A240A3">
              <w:rPr>
                <w:rFonts w:ascii="Calibri" w:eastAsia="Times New Roman" w:hAnsi="Calibri" w:cs="Calibri"/>
                <w:sz w:val="18"/>
                <w:szCs w:val="18"/>
                <w:lang w:val="en-US" w:eastAsia="el-GR"/>
              </w:rPr>
              <w:br/>
              <w:t>xv) 2.4 - Service Invoice / Supplementary Document</w:t>
            </w:r>
            <w:r w:rsidRPr="00A240A3">
              <w:rPr>
                <w:rFonts w:ascii="Calibri" w:eastAsia="Times New Roman" w:hAnsi="Calibri" w:cs="Calibri"/>
                <w:sz w:val="18"/>
                <w:szCs w:val="18"/>
                <w:lang w:val="en-US" w:eastAsia="el-GR"/>
              </w:rPr>
              <w:br/>
              <w:t xml:space="preserve">xvi) 3.1 </w:t>
            </w:r>
            <w:r w:rsidR="00F8666B">
              <w:rPr>
                <w:rFonts w:ascii="Calibri" w:eastAsia="Times New Roman" w:hAnsi="Calibri" w:cs="Calibri"/>
                <w:sz w:val="18"/>
                <w:szCs w:val="18"/>
                <w:lang w:val="en-US" w:eastAsia="el-GR"/>
              </w:rPr>
              <w:t>–</w:t>
            </w:r>
            <w:r w:rsidRPr="00A240A3">
              <w:rPr>
                <w:rFonts w:ascii="Calibri" w:eastAsia="Times New Roman" w:hAnsi="Calibri" w:cs="Calibri"/>
                <w:sz w:val="18"/>
                <w:szCs w:val="18"/>
                <w:lang w:val="en-US" w:eastAsia="el-GR"/>
              </w:rPr>
              <w:t xml:space="preserve"> </w:t>
            </w:r>
            <w:r w:rsidR="00F8666B">
              <w:rPr>
                <w:rFonts w:ascii="Calibri" w:eastAsia="Times New Roman" w:hAnsi="Calibri" w:cs="Calibri"/>
                <w:sz w:val="18"/>
                <w:szCs w:val="18"/>
                <w:lang w:val="en-US" w:eastAsia="el-GR"/>
              </w:rPr>
              <w:t xml:space="preserve">Proof of Expenditure/ </w:t>
            </w:r>
            <w:r w:rsidRPr="00A240A3">
              <w:rPr>
                <w:rFonts w:ascii="Calibri" w:eastAsia="Times New Roman" w:hAnsi="Calibri" w:cs="Calibri"/>
                <w:sz w:val="18"/>
                <w:szCs w:val="18"/>
                <w:lang w:val="en-US" w:eastAsia="el-GR"/>
              </w:rPr>
              <w:t>Invoice of par. 10 article 8 of L.4308/2014 (Greek GAAP) (non-liable issuer)</w:t>
            </w:r>
            <w:r w:rsidRPr="00A240A3">
              <w:rPr>
                <w:rFonts w:ascii="Calibri" w:eastAsia="Times New Roman" w:hAnsi="Calibri" w:cs="Calibri"/>
                <w:sz w:val="18"/>
                <w:szCs w:val="18"/>
                <w:lang w:val="en-US" w:eastAsia="el-GR"/>
              </w:rPr>
              <w:br/>
              <w:t xml:space="preserve">xvii) 3.2. </w:t>
            </w:r>
            <w:r w:rsidR="00F8666B">
              <w:rPr>
                <w:rFonts w:ascii="Calibri" w:eastAsia="Times New Roman" w:hAnsi="Calibri" w:cs="Calibri"/>
                <w:sz w:val="18"/>
                <w:szCs w:val="18"/>
                <w:lang w:val="en-US" w:eastAsia="el-GR"/>
              </w:rPr>
              <w:t>–</w:t>
            </w:r>
            <w:r w:rsidRPr="00A240A3">
              <w:rPr>
                <w:rFonts w:ascii="Calibri" w:eastAsia="Times New Roman" w:hAnsi="Calibri" w:cs="Calibri"/>
                <w:sz w:val="18"/>
                <w:szCs w:val="18"/>
                <w:lang w:val="en-US" w:eastAsia="el-GR"/>
              </w:rPr>
              <w:t xml:space="preserve"> </w:t>
            </w:r>
            <w:r w:rsidR="00F8666B">
              <w:rPr>
                <w:rFonts w:ascii="Calibri" w:eastAsia="Times New Roman" w:hAnsi="Calibri" w:cs="Calibri"/>
                <w:sz w:val="18"/>
                <w:szCs w:val="18"/>
                <w:lang w:val="en-US" w:eastAsia="el-GR"/>
              </w:rPr>
              <w:t xml:space="preserve">Proof of Expenditure/ </w:t>
            </w:r>
            <w:r w:rsidRPr="00A240A3">
              <w:rPr>
                <w:rFonts w:ascii="Calibri" w:eastAsia="Times New Roman" w:hAnsi="Calibri" w:cs="Calibri"/>
                <w:sz w:val="18"/>
                <w:szCs w:val="18"/>
                <w:lang w:val="en-US" w:eastAsia="el-GR"/>
              </w:rPr>
              <w:t>Invoice of par. 10 article 8 of L.4308/2014 (Greek GAAP)</w:t>
            </w:r>
            <w:r w:rsidR="00F8666B">
              <w:rPr>
                <w:rFonts w:ascii="Calibri" w:eastAsia="Times New Roman" w:hAnsi="Calibri" w:cs="Calibri"/>
                <w:sz w:val="18"/>
                <w:szCs w:val="18"/>
                <w:lang w:val="en-US" w:eastAsia="el-GR"/>
              </w:rPr>
              <w:t xml:space="preserve"> </w:t>
            </w:r>
            <w:r w:rsidRPr="00A240A3">
              <w:rPr>
                <w:rFonts w:ascii="Calibri" w:eastAsia="Times New Roman" w:hAnsi="Calibri" w:cs="Calibri"/>
                <w:sz w:val="18"/>
                <w:szCs w:val="18"/>
                <w:lang w:val="en-US" w:eastAsia="el-GR"/>
              </w:rPr>
              <w:t>(denying liable issuer)</w:t>
            </w:r>
            <w:r w:rsidRPr="00A240A3">
              <w:rPr>
                <w:rFonts w:ascii="Calibri" w:eastAsia="Times New Roman" w:hAnsi="Calibri" w:cs="Calibri"/>
                <w:sz w:val="18"/>
                <w:szCs w:val="18"/>
                <w:lang w:val="en-US" w:eastAsia="el-GR"/>
              </w:rPr>
              <w:br/>
              <w:t>xviii) 6.1 - Self-Delivery Invoice</w:t>
            </w:r>
            <w:r w:rsidRPr="00A240A3">
              <w:rPr>
                <w:rFonts w:ascii="Calibri" w:eastAsia="Times New Roman" w:hAnsi="Calibri" w:cs="Calibri"/>
                <w:sz w:val="18"/>
                <w:szCs w:val="18"/>
                <w:lang w:val="en-US" w:eastAsia="el-GR"/>
              </w:rPr>
              <w:br/>
              <w:t>xix) 6.2 - Self-Use Invoice</w:t>
            </w:r>
            <w:r w:rsidRPr="00A240A3">
              <w:rPr>
                <w:rFonts w:ascii="Calibri" w:eastAsia="Times New Roman" w:hAnsi="Calibri" w:cs="Calibri"/>
                <w:sz w:val="18"/>
                <w:szCs w:val="18"/>
                <w:lang w:val="en-US" w:eastAsia="el-GR"/>
              </w:rPr>
              <w:br/>
              <w:t>xx) 7.1 - Contract – Income</w:t>
            </w:r>
            <w:r w:rsidRPr="00A240A3">
              <w:rPr>
                <w:rFonts w:ascii="Calibri" w:eastAsia="Times New Roman" w:hAnsi="Calibri" w:cs="Calibri"/>
                <w:sz w:val="18"/>
                <w:szCs w:val="18"/>
                <w:lang w:val="en-US" w:eastAsia="el-GR"/>
              </w:rPr>
              <w:br/>
              <w:t>xxi) 8.1 - Rents – Income</w:t>
            </w:r>
            <w:r w:rsidRPr="00A240A3">
              <w:rPr>
                <w:rFonts w:ascii="Calibri" w:eastAsia="Times New Roman" w:hAnsi="Calibri" w:cs="Calibri"/>
                <w:sz w:val="18"/>
                <w:szCs w:val="18"/>
                <w:lang w:val="en-US" w:eastAsia="el-GR"/>
              </w:rPr>
              <w:br/>
              <w:t>xxii) 8.2 - Special Item – Accommodation Tax Receipt</w:t>
            </w:r>
            <w:r w:rsidRPr="00A240A3">
              <w:rPr>
                <w:rFonts w:ascii="Calibri" w:eastAsia="Times New Roman" w:hAnsi="Calibri" w:cs="Calibri"/>
                <w:sz w:val="18"/>
                <w:szCs w:val="18"/>
                <w:lang w:val="en-US" w:eastAsia="el-GR"/>
              </w:rPr>
              <w:br/>
              <w:t>xxiii) 8.4 –POS Payment Receipt</w:t>
            </w:r>
            <w:r w:rsidRPr="00A240A3">
              <w:rPr>
                <w:rFonts w:ascii="Calibri" w:eastAsia="Times New Roman" w:hAnsi="Calibri" w:cs="Calibri"/>
                <w:sz w:val="18"/>
                <w:szCs w:val="18"/>
                <w:lang w:val="en-US" w:eastAsia="el-GR"/>
              </w:rPr>
              <w:br/>
              <w:t>xxiv) 8.5 - POS Return Receipt</w:t>
            </w:r>
            <w:r w:rsidRPr="00A240A3">
              <w:rPr>
                <w:rFonts w:ascii="Calibri" w:eastAsia="Times New Roman" w:hAnsi="Calibri" w:cs="Calibri"/>
                <w:sz w:val="18"/>
                <w:szCs w:val="18"/>
                <w:lang w:val="en-US" w:eastAsia="el-GR"/>
              </w:rPr>
              <w:br/>
              <w:t>xxv) 8.6 - Order Form</w:t>
            </w:r>
            <w:r w:rsidRPr="00A240A3">
              <w:rPr>
                <w:rFonts w:ascii="Calibri" w:eastAsia="Times New Roman" w:hAnsi="Calibri" w:cs="Calibri"/>
                <w:sz w:val="18"/>
                <w:szCs w:val="18"/>
                <w:lang w:val="en-US" w:eastAsia="el-GR"/>
              </w:rPr>
              <w:br/>
              <w:t>xxvi) 9.1 - Correlated Delivery Note (optional)</w:t>
            </w:r>
            <w:r w:rsidRPr="00A240A3">
              <w:rPr>
                <w:rFonts w:ascii="Calibri" w:eastAsia="Times New Roman" w:hAnsi="Calibri" w:cs="Calibri"/>
                <w:sz w:val="18"/>
                <w:szCs w:val="18"/>
                <w:lang w:val="en-US" w:eastAsia="el-GR"/>
              </w:rPr>
              <w:br/>
              <w:t>xxvii) 9.2 - Consolidated Delivery Note (optional)</w:t>
            </w:r>
            <w:r w:rsidRPr="00A240A3">
              <w:rPr>
                <w:rFonts w:ascii="Calibri" w:eastAsia="Times New Roman" w:hAnsi="Calibri" w:cs="Calibri"/>
                <w:sz w:val="18"/>
                <w:szCs w:val="18"/>
                <w:lang w:val="en-US" w:eastAsia="el-GR"/>
              </w:rPr>
              <w:br/>
              <w:t>xxviii) 9.3 - Delivery Note (optional)</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2FC06EA"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9A1F40F"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val="en-US" w:eastAsia="el-GR"/>
              </w:rPr>
            </w:pPr>
            <w:r w:rsidRPr="00A240A3">
              <w:rPr>
                <w:rFonts w:ascii="Calibri" w:eastAsia="Times New Roman" w:hAnsi="Calibri" w:cs="Calibri"/>
                <w:b/>
                <w:bCs/>
                <w:color w:val="000000"/>
                <w:sz w:val="28"/>
                <w:szCs w:val="28"/>
                <w:lang w:val="en-US" w:eastAsia="el-GR"/>
              </w:rPr>
              <w:t>√</w:t>
            </w:r>
            <w:r w:rsidRPr="00A240A3">
              <w:rPr>
                <w:rFonts w:ascii="Calibri" w:eastAsia="Times New Roman" w:hAnsi="Calibri" w:cs="Calibri"/>
                <w:b/>
                <w:bCs/>
                <w:color w:val="000000"/>
                <w:sz w:val="28"/>
                <w:szCs w:val="28"/>
                <w:lang w:val="en-US" w:eastAsia="el-GR"/>
              </w:rPr>
              <w:br/>
            </w:r>
            <w:r w:rsidRPr="00A240A3">
              <w:rPr>
                <w:rFonts w:ascii="Calibri" w:eastAsia="Times New Roman" w:hAnsi="Calibri" w:cs="Calibri"/>
                <w:b/>
                <w:bCs/>
                <w:color w:val="000000"/>
                <w:lang w:val="en-US" w:eastAsia="el-GR"/>
              </w:rPr>
              <w:t>(types of documents based on their application)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CAE01"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C42F0"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0E4A7"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r w:rsidR="00D678A7" w:rsidRPr="00FC1F39" w14:paraId="31A1FDAE" w14:textId="77777777" w:rsidTr="00B4365F">
        <w:trPr>
          <w:trHeight w:val="2880"/>
        </w:trPr>
        <w:tc>
          <w:tcPr>
            <w:tcW w:w="868" w:type="dxa"/>
            <w:vMerge/>
            <w:tcBorders>
              <w:top w:val="nil"/>
              <w:left w:val="single" w:sz="4" w:space="0" w:color="auto"/>
              <w:bottom w:val="single" w:sz="4" w:space="0" w:color="000000"/>
              <w:right w:val="single" w:sz="4" w:space="0" w:color="auto"/>
            </w:tcBorders>
            <w:vAlign w:val="center"/>
            <w:hideMark/>
          </w:tcPr>
          <w:p w14:paraId="25D296FB" w14:textId="77777777" w:rsidR="00D678A7" w:rsidRPr="00A240A3" w:rsidRDefault="00D678A7" w:rsidP="00D678A7">
            <w:pPr>
              <w:spacing w:after="0" w:line="240" w:lineRule="auto"/>
              <w:rPr>
                <w:rFonts w:ascii="Calibri" w:eastAsia="Times New Roman" w:hAnsi="Calibri" w:cs="Calibri"/>
                <w:lang w:eastAsia="el-GR"/>
              </w:rPr>
            </w:pPr>
          </w:p>
        </w:tc>
        <w:tc>
          <w:tcPr>
            <w:tcW w:w="1715" w:type="dxa"/>
            <w:vMerge/>
            <w:tcBorders>
              <w:top w:val="single" w:sz="4" w:space="0" w:color="auto"/>
              <w:left w:val="single" w:sz="4" w:space="0" w:color="auto"/>
              <w:bottom w:val="single" w:sz="4" w:space="0" w:color="000000"/>
              <w:right w:val="single" w:sz="4" w:space="0" w:color="auto"/>
            </w:tcBorders>
            <w:vAlign w:val="center"/>
            <w:hideMark/>
          </w:tcPr>
          <w:p w14:paraId="1AF6D016" w14:textId="77777777" w:rsidR="00D678A7" w:rsidRPr="00A240A3" w:rsidRDefault="00D678A7" w:rsidP="00D678A7">
            <w:pPr>
              <w:spacing w:after="0" w:line="240" w:lineRule="auto"/>
              <w:rPr>
                <w:rFonts w:ascii="Calibri" w:eastAsia="Times New Roman" w:hAnsi="Calibri" w:cs="Calibri"/>
                <w:lang w:eastAsia="el-GR"/>
              </w:rPr>
            </w:pPr>
          </w:p>
        </w:tc>
        <w:tc>
          <w:tcPr>
            <w:tcW w:w="7157" w:type="dxa"/>
            <w:tcBorders>
              <w:top w:val="single" w:sz="4" w:space="0" w:color="auto"/>
              <w:left w:val="nil"/>
              <w:bottom w:val="single" w:sz="4" w:space="0" w:color="auto"/>
              <w:right w:val="single" w:sz="4" w:space="0" w:color="auto"/>
            </w:tcBorders>
            <w:shd w:val="clear" w:color="auto" w:fill="auto"/>
            <w:vAlign w:val="center"/>
            <w:hideMark/>
          </w:tcPr>
          <w:p w14:paraId="0999989D" w14:textId="77777777" w:rsidR="00D678A7" w:rsidRPr="00A240A3" w:rsidRDefault="00D678A7" w:rsidP="00D678A7">
            <w:pPr>
              <w:spacing w:after="0" w:line="240" w:lineRule="auto"/>
              <w:rPr>
                <w:rFonts w:ascii="Calibri" w:eastAsia="Times New Roman" w:hAnsi="Calibri" w:cs="Calibri"/>
                <w:sz w:val="18"/>
                <w:szCs w:val="18"/>
                <w:lang w:val="en-US" w:eastAsia="el-GR"/>
              </w:rPr>
            </w:pPr>
            <w:r w:rsidRPr="00A240A3">
              <w:rPr>
                <w:rFonts w:ascii="Calibri" w:eastAsia="Times New Roman" w:hAnsi="Calibri" w:cs="Calibri"/>
                <w:sz w:val="18"/>
                <w:szCs w:val="18"/>
                <w:lang w:val="en-US" w:eastAsia="el-GR"/>
              </w:rPr>
              <w:t>xxix) 10.1 - Correlated Quantity Receipt Form (optional)</w:t>
            </w:r>
            <w:r w:rsidRPr="00A240A3">
              <w:rPr>
                <w:rFonts w:ascii="Calibri" w:eastAsia="Times New Roman" w:hAnsi="Calibri" w:cs="Calibri"/>
                <w:sz w:val="18"/>
                <w:szCs w:val="18"/>
                <w:lang w:val="en-US" w:eastAsia="el-GR"/>
              </w:rPr>
              <w:br/>
              <w:t>xxx) 10.2 - Quantity Receipt Form (optional)</w:t>
            </w:r>
            <w:r w:rsidRPr="00A240A3">
              <w:rPr>
                <w:rFonts w:ascii="Calibri" w:eastAsia="Times New Roman" w:hAnsi="Calibri" w:cs="Calibri"/>
                <w:sz w:val="18"/>
                <w:szCs w:val="18"/>
                <w:lang w:val="en-US" w:eastAsia="el-GR"/>
              </w:rPr>
              <w:br/>
              <w:t>xxxi) 11.1 - ALP (Retail Sales Receipt)</w:t>
            </w:r>
            <w:r w:rsidRPr="00A240A3">
              <w:rPr>
                <w:rFonts w:ascii="Calibri" w:eastAsia="Times New Roman" w:hAnsi="Calibri" w:cs="Calibri"/>
                <w:sz w:val="18"/>
                <w:szCs w:val="18"/>
                <w:lang w:val="en-US" w:eastAsia="el-GR"/>
              </w:rPr>
              <w:br/>
              <w:t>xxxii) 11.1 - ALP (Retail Sales Receipt) _ Inventory Transfer</w:t>
            </w:r>
            <w:r w:rsidRPr="00A240A3">
              <w:rPr>
                <w:rFonts w:ascii="Calibri" w:eastAsia="Times New Roman" w:hAnsi="Calibri" w:cs="Calibri"/>
                <w:sz w:val="18"/>
                <w:szCs w:val="18"/>
                <w:lang w:val="en-US" w:eastAsia="el-GR"/>
              </w:rPr>
              <w:br/>
              <w:t>xxxiii) 11.2 - APY (Receipt for Services Rendered)</w:t>
            </w:r>
            <w:r w:rsidRPr="00A240A3">
              <w:rPr>
                <w:rFonts w:ascii="Calibri" w:eastAsia="Times New Roman" w:hAnsi="Calibri" w:cs="Calibri"/>
                <w:sz w:val="18"/>
                <w:szCs w:val="18"/>
                <w:lang w:val="en-US" w:eastAsia="el-GR"/>
              </w:rPr>
              <w:br/>
              <w:t>xxxiv) 11.5 - ALP / Retail Sale on Behalf of Third Parties</w:t>
            </w:r>
            <w:r w:rsidRPr="00A240A3">
              <w:rPr>
                <w:rFonts w:ascii="Calibri" w:eastAsia="Times New Roman" w:hAnsi="Calibri" w:cs="Calibri"/>
                <w:sz w:val="18"/>
                <w:szCs w:val="18"/>
                <w:lang w:val="en-US" w:eastAsia="el-GR"/>
              </w:rPr>
              <w:br/>
              <w:t xml:space="preserve">xxxv) 11.5 - ALP / Retail Sale on Behalf of Third Parties_ Inventory Transfer </w:t>
            </w:r>
            <w:r w:rsidRPr="00A240A3">
              <w:rPr>
                <w:rFonts w:ascii="Calibri" w:eastAsia="Times New Roman" w:hAnsi="Calibri" w:cs="Calibri"/>
                <w:sz w:val="18"/>
                <w:szCs w:val="18"/>
                <w:lang w:val="en-US" w:eastAsia="el-GR"/>
              </w:rPr>
              <w:br/>
              <w:t>xxxvi) 5.1 - Credit Invoice / Correlated</w:t>
            </w:r>
            <w:r w:rsidRPr="00A240A3">
              <w:rPr>
                <w:rFonts w:ascii="Calibri" w:eastAsia="Times New Roman" w:hAnsi="Calibri" w:cs="Calibri"/>
                <w:sz w:val="18"/>
                <w:szCs w:val="18"/>
                <w:lang w:val="en-US" w:eastAsia="el-GR"/>
              </w:rPr>
              <w:br/>
              <w:t>xxxvii) 5.2 - Credit Invoice</w:t>
            </w:r>
            <w:r w:rsidRPr="00A240A3">
              <w:rPr>
                <w:rFonts w:ascii="Calibri" w:eastAsia="Times New Roman" w:hAnsi="Calibri" w:cs="Calibri"/>
                <w:sz w:val="18"/>
                <w:szCs w:val="18"/>
                <w:lang w:val="en-US" w:eastAsia="el-GR"/>
              </w:rPr>
              <w:br/>
              <w:t>xxxviii) 5.2 - Credit Invoice_ Inventory Transfer</w:t>
            </w:r>
            <w:r w:rsidRPr="00A240A3">
              <w:rPr>
                <w:rFonts w:ascii="Calibri" w:eastAsia="Times New Roman" w:hAnsi="Calibri" w:cs="Calibri"/>
                <w:sz w:val="18"/>
                <w:szCs w:val="18"/>
                <w:lang w:val="en-US" w:eastAsia="el-GR"/>
              </w:rPr>
              <w:br/>
              <w:t>xxxix) 11.4 - Retail Credit Receipt</w:t>
            </w:r>
            <w:r w:rsidRPr="00A240A3">
              <w:rPr>
                <w:rFonts w:ascii="Calibri" w:eastAsia="Times New Roman" w:hAnsi="Calibri" w:cs="Calibri"/>
                <w:sz w:val="18"/>
                <w:szCs w:val="18"/>
                <w:lang w:val="en-US" w:eastAsia="el-GR"/>
              </w:rPr>
              <w:br/>
              <w:t>xl) 11.4 - Retail Credit Receipt_ Inventory Transfer</w:t>
            </w: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6480707C" w14:textId="77777777" w:rsidR="00D678A7" w:rsidRPr="00A240A3" w:rsidRDefault="00D678A7" w:rsidP="00D678A7">
            <w:pPr>
              <w:spacing w:after="0" w:line="240" w:lineRule="auto"/>
              <w:rPr>
                <w:rFonts w:ascii="Calibri" w:eastAsia="Times New Roman" w:hAnsi="Calibri" w:cs="Calibri"/>
                <w:b/>
                <w:bCs/>
                <w:color w:val="000000"/>
                <w:sz w:val="28"/>
                <w:szCs w:val="28"/>
                <w:lang w:val="en-US" w:eastAsia="el-GR"/>
              </w:rPr>
            </w:pPr>
          </w:p>
        </w:tc>
        <w:tc>
          <w:tcPr>
            <w:tcW w:w="1384" w:type="dxa"/>
            <w:vMerge/>
            <w:tcBorders>
              <w:top w:val="single" w:sz="4" w:space="0" w:color="auto"/>
              <w:left w:val="single" w:sz="4" w:space="0" w:color="auto"/>
              <w:bottom w:val="single" w:sz="4" w:space="0" w:color="000000"/>
              <w:right w:val="single" w:sz="4" w:space="0" w:color="auto"/>
            </w:tcBorders>
            <w:vAlign w:val="center"/>
            <w:hideMark/>
          </w:tcPr>
          <w:p w14:paraId="2E6840C1" w14:textId="77777777" w:rsidR="00D678A7" w:rsidRPr="00A240A3" w:rsidRDefault="00D678A7" w:rsidP="00D678A7">
            <w:pPr>
              <w:spacing w:after="0" w:line="240" w:lineRule="auto"/>
              <w:rPr>
                <w:rFonts w:ascii="Calibri" w:eastAsia="Times New Roman" w:hAnsi="Calibri" w:cs="Calibri"/>
                <w:b/>
                <w:bCs/>
                <w:color w:val="000000"/>
                <w:sz w:val="28"/>
                <w:szCs w:val="28"/>
                <w:lang w:val="en-US" w:eastAsia="el-GR"/>
              </w:rPr>
            </w:pPr>
          </w:p>
        </w:tc>
        <w:tc>
          <w:tcPr>
            <w:tcW w:w="1191" w:type="dxa"/>
            <w:vMerge/>
            <w:tcBorders>
              <w:top w:val="single" w:sz="4" w:space="0" w:color="auto"/>
              <w:left w:val="single" w:sz="4" w:space="0" w:color="auto"/>
              <w:bottom w:val="single" w:sz="4" w:space="0" w:color="000000"/>
              <w:right w:val="single" w:sz="4" w:space="0" w:color="auto"/>
            </w:tcBorders>
            <w:vAlign w:val="center"/>
            <w:hideMark/>
          </w:tcPr>
          <w:p w14:paraId="708901AE" w14:textId="77777777" w:rsidR="00D678A7" w:rsidRPr="00A240A3" w:rsidRDefault="00D678A7" w:rsidP="00D678A7">
            <w:pPr>
              <w:spacing w:after="0" w:line="240" w:lineRule="auto"/>
              <w:rPr>
                <w:rFonts w:ascii="Calibri" w:eastAsia="Times New Roman" w:hAnsi="Calibri" w:cs="Calibri"/>
                <w:color w:val="000000"/>
                <w:sz w:val="20"/>
                <w:szCs w:val="20"/>
                <w:lang w:val="en-US" w:eastAsia="el-GR"/>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53125AAF" w14:textId="77777777" w:rsidR="00D678A7" w:rsidRPr="00A240A3" w:rsidRDefault="00D678A7" w:rsidP="00D678A7">
            <w:pPr>
              <w:spacing w:after="0" w:line="240" w:lineRule="auto"/>
              <w:rPr>
                <w:rFonts w:ascii="Calibri" w:eastAsia="Times New Roman" w:hAnsi="Calibri" w:cs="Calibri"/>
                <w:color w:val="000000"/>
                <w:sz w:val="20"/>
                <w:szCs w:val="20"/>
                <w:lang w:val="en-US" w:eastAsia="el-GR"/>
              </w:rPr>
            </w:pPr>
          </w:p>
        </w:tc>
        <w:tc>
          <w:tcPr>
            <w:tcW w:w="985" w:type="dxa"/>
            <w:vMerge/>
            <w:tcBorders>
              <w:top w:val="nil"/>
              <w:left w:val="single" w:sz="4" w:space="0" w:color="auto"/>
              <w:bottom w:val="single" w:sz="4" w:space="0" w:color="000000"/>
              <w:right w:val="single" w:sz="4" w:space="0" w:color="auto"/>
            </w:tcBorders>
            <w:vAlign w:val="center"/>
            <w:hideMark/>
          </w:tcPr>
          <w:p w14:paraId="022DC9C3" w14:textId="77777777" w:rsidR="00D678A7" w:rsidRPr="00A240A3" w:rsidRDefault="00D678A7" w:rsidP="00D678A7">
            <w:pPr>
              <w:spacing w:after="0" w:line="240" w:lineRule="auto"/>
              <w:rPr>
                <w:rFonts w:ascii="Calibri" w:eastAsia="Times New Roman" w:hAnsi="Calibri" w:cs="Calibri"/>
                <w:color w:val="000000"/>
                <w:lang w:val="en-US" w:eastAsia="el-GR"/>
              </w:rPr>
            </w:pPr>
          </w:p>
        </w:tc>
      </w:tr>
      <w:tr w:rsidR="00D678A7" w:rsidRPr="00A240A3" w14:paraId="0471D4F5" w14:textId="77777777" w:rsidTr="00D678A7">
        <w:trPr>
          <w:trHeight w:val="1020"/>
        </w:trPr>
        <w:tc>
          <w:tcPr>
            <w:tcW w:w="868" w:type="dxa"/>
            <w:tcBorders>
              <w:top w:val="nil"/>
              <w:left w:val="single" w:sz="4" w:space="0" w:color="auto"/>
              <w:bottom w:val="single" w:sz="4" w:space="0" w:color="auto"/>
              <w:right w:val="single" w:sz="4" w:space="0" w:color="auto"/>
            </w:tcBorders>
            <w:shd w:val="clear" w:color="auto" w:fill="auto"/>
            <w:vAlign w:val="center"/>
            <w:hideMark/>
          </w:tcPr>
          <w:p w14:paraId="2E8DCCC3"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62_4</w:t>
            </w:r>
          </w:p>
        </w:tc>
        <w:tc>
          <w:tcPr>
            <w:tcW w:w="1715" w:type="dxa"/>
            <w:tcBorders>
              <w:top w:val="nil"/>
              <w:left w:val="nil"/>
              <w:bottom w:val="single" w:sz="4" w:space="0" w:color="auto"/>
              <w:right w:val="single" w:sz="4" w:space="0" w:color="auto"/>
            </w:tcBorders>
            <w:shd w:val="clear" w:color="auto" w:fill="auto"/>
            <w:noWrap/>
            <w:vAlign w:val="center"/>
            <w:hideMark/>
          </w:tcPr>
          <w:p w14:paraId="10F52970" w14:textId="77777777" w:rsidR="00D678A7" w:rsidRPr="00A240A3" w:rsidRDefault="00D678A7" w:rsidP="00D678A7">
            <w:pPr>
              <w:spacing w:after="0" w:line="240" w:lineRule="auto"/>
              <w:jc w:val="center"/>
              <w:rPr>
                <w:rFonts w:ascii="Calibri" w:eastAsia="Times New Roman" w:hAnsi="Calibri" w:cs="Calibri"/>
                <w:lang w:eastAsia="el-GR"/>
              </w:rPr>
            </w:pPr>
            <w:r w:rsidRPr="00A240A3">
              <w:rPr>
                <w:rFonts w:ascii="Calibri" w:eastAsia="Times New Roman" w:hAnsi="Calibri" w:cs="Calibri"/>
                <w:lang w:eastAsia="el-GR"/>
              </w:rPr>
              <w:t> </w:t>
            </w:r>
          </w:p>
        </w:tc>
        <w:tc>
          <w:tcPr>
            <w:tcW w:w="7157" w:type="dxa"/>
            <w:tcBorders>
              <w:top w:val="nil"/>
              <w:left w:val="nil"/>
              <w:bottom w:val="single" w:sz="4" w:space="0" w:color="auto"/>
              <w:right w:val="single" w:sz="4" w:space="0" w:color="auto"/>
            </w:tcBorders>
            <w:shd w:val="clear" w:color="auto" w:fill="auto"/>
            <w:vAlign w:val="center"/>
            <w:hideMark/>
          </w:tcPr>
          <w:p w14:paraId="284363F0" w14:textId="77777777" w:rsidR="00D678A7" w:rsidRPr="00A240A3" w:rsidRDefault="00D678A7" w:rsidP="00D678A7">
            <w:pPr>
              <w:spacing w:after="0" w:line="240" w:lineRule="auto"/>
              <w:rPr>
                <w:rFonts w:ascii="Calibri" w:eastAsia="Times New Roman" w:hAnsi="Calibri" w:cs="Calibri"/>
                <w:sz w:val="20"/>
                <w:szCs w:val="20"/>
                <w:lang w:val="en-US" w:eastAsia="el-GR"/>
              </w:rPr>
            </w:pPr>
            <w:r w:rsidRPr="00A240A3">
              <w:rPr>
                <w:rFonts w:ascii="Calibri" w:eastAsia="Times New Roman" w:hAnsi="Calibri" w:cs="Calibri"/>
                <w:sz w:val="20"/>
                <w:szCs w:val="20"/>
                <w:lang w:val="en-US" w:eastAsia="el-GR"/>
              </w:rPr>
              <w:t>5. In any case of agreement or termination of cooperation between an Electronic Data Issuance Service Provider and Payment Service Providers (Acquirer) and/or Payment Means Providers (NSP) for All in One solution, the Electronic Data Issuance Service Provider is obliged to inform the Committee via email (ypahes@aade.gr). The Committee may request corresponding confirmation from the Payment Service Provider (Acquirer) and/or Payment Means Provider (NSP).</w:t>
            </w:r>
          </w:p>
        </w:tc>
        <w:tc>
          <w:tcPr>
            <w:tcW w:w="925" w:type="dxa"/>
            <w:tcBorders>
              <w:top w:val="nil"/>
              <w:left w:val="nil"/>
              <w:bottom w:val="single" w:sz="4" w:space="0" w:color="auto"/>
              <w:right w:val="single" w:sz="4" w:space="0" w:color="auto"/>
            </w:tcBorders>
            <w:shd w:val="clear" w:color="000000" w:fill="DDEBF7"/>
            <w:vAlign w:val="center"/>
            <w:hideMark/>
          </w:tcPr>
          <w:p w14:paraId="3C5DB525"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384" w:type="dxa"/>
            <w:tcBorders>
              <w:top w:val="nil"/>
              <w:left w:val="nil"/>
              <w:bottom w:val="single" w:sz="4" w:space="0" w:color="auto"/>
              <w:right w:val="single" w:sz="4" w:space="0" w:color="auto"/>
            </w:tcBorders>
            <w:shd w:val="clear" w:color="000000" w:fill="DDEBF7"/>
            <w:vAlign w:val="center"/>
            <w:hideMark/>
          </w:tcPr>
          <w:p w14:paraId="71FB26CD" w14:textId="77777777" w:rsidR="00D678A7" w:rsidRPr="00A240A3" w:rsidRDefault="00D678A7" w:rsidP="00D678A7">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X</w:t>
            </w:r>
          </w:p>
        </w:tc>
        <w:tc>
          <w:tcPr>
            <w:tcW w:w="1191" w:type="dxa"/>
            <w:tcBorders>
              <w:top w:val="nil"/>
              <w:left w:val="nil"/>
              <w:bottom w:val="single" w:sz="4" w:space="0" w:color="auto"/>
              <w:right w:val="single" w:sz="4" w:space="0" w:color="auto"/>
            </w:tcBorders>
            <w:shd w:val="clear" w:color="auto" w:fill="auto"/>
            <w:noWrap/>
            <w:vAlign w:val="center"/>
            <w:hideMark/>
          </w:tcPr>
          <w:p w14:paraId="4B0C88EC"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37" w:type="dxa"/>
            <w:tcBorders>
              <w:top w:val="nil"/>
              <w:left w:val="nil"/>
              <w:bottom w:val="single" w:sz="4" w:space="0" w:color="auto"/>
              <w:right w:val="single" w:sz="4" w:space="0" w:color="auto"/>
            </w:tcBorders>
            <w:shd w:val="clear" w:color="auto" w:fill="auto"/>
            <w:noWrap/>
            <w:vAlign w:val="center"/>
            <w:hideMark/>
          </w:tcPr>
          <w:p w14:paraId="3AEDA8B7" w14:textId="77777777" w:rsidR="00D678A7" w:rsidRPr="00A240A3" w:rsidRDefault="00D678A7" w:rsidP="00D678A7">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85" w:type="dxa"/>
            <w:tcBorders>
              <w:top w:val="nil"/>
              <w:left w:val="nil"/>
              <w:bottom w:val="single" w:sz="4" w:space="0" w:color="auto"/>
              <w:right w:val="single" w:sz="4" w:space="0" w:color="auto"/>
            </w:tcBorders>
            <w:shd w:val="clear" w:color="auto" w:fill="auto"/>
            <w:noWrap/>
            <w:vAlign w:val="center"/>
            <w:hideMark/>
          </w:tcPr>
          <w:p w14:paraId="4A6E4C4C" w14:textId="77777777" w:rsidR="00D678A7" w:rsidRPr="00A240A3" w:rsidRDefault="00D678A7" w:rsidP="00D678A7">
            <w:pPr>
              <w:spacing w:after="0" w:line="240" w:lineRule="auto"/>
              <w:jc w:val="center"/>
              <w:rPr>
                <w:rFonts w:ascii="Calibri" w:eastAsia="Times New Roman" w:hAnsi="Calibri" w:cs="Calibri"/>
                <w:color w:val="000000"/>
                <w:lang w:eastAsia="el-GR"/>
              </w:rPr>
            </w:pPr>
            <w:r w:rsidRPr="00A240A3">
              <w:rPr>
                <w:rFonts w:ascii="Calibri" w:eastAsia="Times New Roman" w:hAnsi="Calibri" w:cs="Calibri"/>
                <w:color w:val="000000"/>
                <w:lang w:eastAsia="el-GR"/>
              </w:rPr>
              <w:t> </w:t>
            </w:r>
          </w:p>
        </w:tc>
      </w:tr>
    </w:tbl>
    <w:p w14:paraId="1B256910" w14:textId="25FA3DDB" w:rsidR="00674EC3" w:rsidRDefault="00674EC3" w:rsidP="00FA1D74">
      <w:pPr>
        <w:spacing w:line="240" w:lineRule="auto"/>
        <w:jc w:val="center"/>
        <w:rPr>
          <w:rFonts w:ascii="Franklin Gothic Medium" w:hAnsi="Franklin Gothic Medium"/>
          <w:b/>
          <w:bCs/>
          <w:color w:val="1F497D" w:themeColor="text2"/>
          <w:sz w:val="32"/>
          <w:szCs w:val="23"/>
          <w:lang w:val="en-US"/>
        </w:rPr>
      </w:pPr>
    </w:p>
    <w:p w14:paraId="60E58B7B" w14:textId="2BB8F925" w:rsidR="00B549BA" w:rsidRPr="002B1C85" w:rsidRDefault="00A21C24" w:rsidP="00FA1D74">
      <w:pPr>
        <w:spacing w:line="240" w:lineRule="auto"/>
        <w:jc w:val="center"/>
        <w:rPr>
          <w:rFonts w:ascii="Franklin Gothic Medium" w:hAnsi="Franklin Gothic Medium"/>
          <w:b/>
          <w:bCs/>
          <w:color w:val="1F497D" w:themeColor="text2"/>
          <w:sz w:val="32"/>
          <w:szCs w:val="23"/>
          <w:lang w:val="en-US"/>
        </w:rPr>
      </w:pPr>
      <w:r w:rsidRPr="00A21C24">
        <w:rPr>
          <w:rFonts w:ascii="Franklin Gothic Medium" w:hAnsi="Franklin Gothic Medium"/>
          <w:b/>
          <w:bCs/>
          <w:color w:val="1F497D" w:themeColor="text2"/>
          <w:sz w:val="32"/>
          <w:szCs w:val="23"/>
          <w:lang w:val="en-US"/>
        </w:rPr>
        <w:t>Table S_Τ YPAHES</w:t>
      </w:r>
      <w:r>
        <w:rPr>
          <w:rFonts w:ascii="Franklin Gothic Medium" w:hAnsi="Franklin Gothic Medium"/>
          <w:b/>
          <w:bCs/>
          <w:color w:val="1F497D" w:themeColor="text2"/>
          <w:sz w:val="32"/>
          <w:szCs w:val="23"/>
          <w:lang w:val="en-US"/>
        </w:rPr>
        <w:t>/</w:t>
      </w:r>
      <w:r w:rsidRPr="00A21C24">
        <w:rPr>
          <w:rFonts w:ascii="Franklin Gothic Medium" w:hAnsi="Franklin Gothic Medium"/>
          <w:b/>
          <w:bCs/>
          <w:color w:val="1F497D" w:themeColor="text2"/>
          <w:sz w:val="32"/>
          <w:szCs w:val="23"/>
          <w:lang w:val="en-US"/>
        </w:rPr>
        <w:t>EDISP A.1017_2020</w:t>
      </w:r>
    </w:p>
    <w:tbl>
      <w:tblPr>
        <w:tblW w:w="15339" w:type="dxa"/>
        <w:tblLook w:val="04A0" w:firstRow="1" w:lastRow="0" w:firstColumn="1" w:lastColumn="0" w:noHBand="0" w:noVBand="1"/>
      </w:tblPr>
      <w:tblGrid>
        <w:gridCol w:w="778"/>
        <w:gridCol w:w="1769"/>
        <w:gridCol w:w="7087"/>
        <w:gridCol w:w="993"/>
        <w:gridCol w:w="1417"/>
        <w:gridCol w:w="1276"/>
        <w:gridCol w:w="913"/>
        <w:gridCol w:w="1106"/>
      </w:tblGrid>
      <w:tr w:rsidR="00DA0946" w:rsidRPr="00A240A3" w14:paraId="1C5AE4D5" w14:textId="77777777" w:rsidTr="009B2A0A">
        <w:trPr>
          <w:trHeight w:val="208"/>
          <w:tblHeader/>
        </w:trPr>
        <w:tc>
          <w:tcPr>
            <w:tcW w:w="778"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AB2ACC6"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S/N</w:t>
            </w:r>
          </w:p>
        </w:tc>
        <w:tc>
          <w:tcPr>
            <w:tcW w:w="1769" w:type="dxa"/>
            <w:tcBorders>
              <w:top w:val="single" w:sz="4" w:space="0" w:color="auto"/>
              <w:left w:val="nil"/>
              <w:bottom w:val="single" w:sz="4" w:space="0" w:color="auto"/>
              <w:right w:val="single" w:sz="4" w:space="0" w:color="auto"/>
            </w:tcBorders>
            <w:shd w:val="clear" w:color="000000" w:fill="D6DCE4"/>
            <w:noWrap/>
            <w:vAlign w:val="center"/>
            <w:hideMark/>
          </w:tcPr>
          <w:p w14:paraId="739B0DFB"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ARTICLES A.1017/2020</w:t>
            </w:r>
          </w:p>
        </w:tc>
        <w:tc>
          <w:tcPr>
            <w:tcW w:w="7087" w:type="dxa"/>
            <w:tcBorders>
              <w:top w:val="single" w:sz="4" w:space="0" w:color="auto"/>
              <w:left w:val="nil"/>
              <w:bottom w:val="single" w:sz="4" w:space="0" w:color="auto"/>
              <w:right w:val="single" w:sz="4" w:space="0" w:color="auto"/>
            </w:tcBorders>
            <w:shd w:val="clear" w:color="000000" w:fill="D6DCE4"/>
            <w:noWrap/>
            <w:vAlign w:val="center"/>
            <w:hideMark/>
          </w:tcPr>
          <w:p w14:paraId="1E743F29" w14:textId="77777777" w:rsidR="00DA0946" w:rsidRPr="00A240A3" w:rsidRDefault="00DA0946" w:rsidP="004E2238">
            <w:pPr>
              <w:spacing w:after="0" w:line="240" w:lineRule="auto"/>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SPECIFICATIONS ACCORDING TO A.1017/2020</w:t>
            </w:r>
          </w:p>
        </w:tc>
        <w:tc>
          <w:tcPr>
            <w:tcW w:w="993" w:type="dxa"/>
            <w:tcBorders>
              <w:top w:val="single" w:sz="4" w:space="0" w:color="auto"/>
              <w:left w:val="nil"/>
              <w:bottom w:val="single" w:sz="4" w:space="0" w:color="auto"/>
              <w:right w:val="single" w:sz="4" w:space="0" w:color="auto"/>
            </w:tcBorders>
            <w:shd w:val="clear" w:color="000000" w:fill="D6DCE4"/>
            <w:noWrap/>
            <w:vAlign w:val="center"/>
            <w:hideMark/>
          </w:tcPr>
          <w:p w14:paraId="6CA7CDCD"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PROVIDER</w:t>
            </w:r>
          </w:p>
        </w:tc>
        <w:tc>
          <w:tcPr>
            <w:tcW w:w="1417" w:type="dxa"/>
            <w:tcBorders>
              <w:top w:val="single" w:sz="4" w:space="0" w:color="auto"/>
              <w:left w:val="nil"/>
              <w:bottom w:val="single" w:sz="4" w:space="0" w:color="auto"/>
              <w:right w:val="single" w:sz="4" w:space="0" w:color="auto"/>
            </w:tcBorders>
            <w:shd w:val="clear" w:color="000000" w:fill="D6DCE4"/>
            <w:noWrap/>
            <w:vAlign w:val="center"/>
            <w:hideMark/>
          </w:tcPr>
          <w:p w14:paraId="7C8F1D5E"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SELF-PROVIDER</w:t>
            </w:r>
          </w:p>
        </w:tc>
        <w:tc>
          <w:tcPr>
            <w:tcW w:w="1276" w:type="dxa"/>
            <w:tcBorders>
              <w:top w:val="single" w:sz="4" w:space="0" w:color="auto"/>
              <w:left w:val="nil"/>
              <w:bottom w:val="single" w:sz="4" w:space="0" w:color="auto"/>
              <w:right w:val="single" w:sz="4" w:space="0" w:color="auto"/>
            </w:tcBorders>
            <w:shd w:val="clear" w:color="000000" w:fill="D6DCE4"/>
            <w:noWrap/>
            <w:vAlign w:val="center"/>
            <w:hideMark/>
          </w:tcPr>
          <w:p w14:paraId="19668E92"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REQUIREMENT</w:t>
            </w:r>
          </w:p>
        </w:tc>
        <w:tc>
          <w:tcPr>
            <w:tcW w:w="913" w:type="dxa"/>
            <w:tcBorders>
              <w:top w:val="single" w:sz="4" w:space="0" w:color="auto"/>
              <w:left w:val="nil"/>
              <w:bottom w:val="single" w:sz="4" w:space="0" w:color="auto"/>
              <w:right w:val="single" w:sz="4" w:space="0" w:color="auto"/>
            </w:tcBorders>
            <w:shd w:val="clear" w:color="000000" w:fill="D6DCE4"/>
            <w:noWrap/>
            <w:vAlign w:val="center"/>
            <w:hideMark/>
          </w:tcPr>
          <w:p w14:paraId="0E782E6A"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RESPONSE</w:t>
            </w:r>
          </w:p>
        </w:tc>
        <w:tc>
          <w:tcPr>
            <w:tcW w:w="1106" w:type="dxa"/>
            <w:tcBorders>
              <w:top w:val="single" w:sz="4" w:space="0" w:color="auto"/>
              <w:left w:val="nil"/>
              <w:bottom w:val="single" w:sz="4" w:space="0" w:color="auto"/>
              <w:right w:val="single" w:sz="4" w:space="0" w:color="auto"/>
            </w:tcBorders>
            <w:shd w:val="clear" w:color="000000" w:fill="D6DCE4"/>
            <w:noWrap/>
            <w:vAlign w:val="center"/>
            <w:hideMark/>
          </w:tcPr>
          <w:p w14:paraId="339954E7" w14:textId="77777777" w:rsidR="00DA0946" w:rsidRPr="00A240A3" w:rsidRDefault="00DA0946" w:rsidP="004E2238">
            <w:pPr>
              <w:spacing w:after="0" w:line="240" w:lineRule="auto"/>
              <w:jc w:val="center"/>
              <w:rPr>
                <w:rFonts w:ascii="Calibri" w:eastAsia="Times New Roman" w:hAnsi="Calibri" w:cs="Calibri"/>
                <w:b/>
                <w:bCs/>
                <w:color w:val="000000"/>
                <w:sz w:val="16"/>
                <w:szCs w:val="16"/>
                <w:lang w:eastAsia="el-GR"/>
              </w:rPr>
            </w:pPr>
            <w:r w:rsidRPr="00A240A3">
              <w:rPr>
                <w:rFonts w:ascii="Calibri" w:eastAsia="Times New Roman" w:hAnsi="Calibri" w:cs="Calibri"/>
                <w:b/>
                <w:bCs/>
                <w:color w:val="000000"/>
                <w:sz w:val="16"/>
                <w:szCs w:val="16"/>
                <w:lang w:eastAsia="el-GR"/>
              </w:rPr>
              <w:t>REFERENCE</w:t>
            </w:r>
          </w:p>
        </w:tc>
      </w:tr>
      <w:tr w:rsidR="00DA0946" w:rsidRPr="00A240A3" w14:paraId="04220901" w14:textId="77777777" w:rsidTr="009B2A0A">
        <w:trPr>
          <w:trHeight w:val="1423"/>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6097AB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w:t>
            </w:r>
          </w:p>
        </w:tc>
        <w:tc>
          <w:tcPr>
            <w:tcW w:w="1769" w:type="dxa"/>
            <w:tcBorders>
              <w:top w:val="nil"/>
              <w:left w:val="nil"/>
              <w:bottom w:val="single" w:sz="4" w:space="0" w:color="auto"/>
              <w:right w:val="single" w:sz="4" w:space="0" w:color="auto"/>
            </w:tcBorders>
            <w:shd w:val="clear" w:color="auto" w:fill="auto"/>
            <w:vAlign w:val="center"/>
            <w:hideMark/>
          </w:tcPr>
          <w:p w14:paraId="14B5DFA7" w14:textId="77777777" w:rsidR="00DA0946" w:rsidRPr="00A240A3" w:rsidRDefault="00DA0946" w:rsidP="004E2238">
            <w:pPr>
              <w:spacing w:after="0" w:line="240" w:lineRule="auto"/>
              <w:jc w:val="center"/>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Article 2</w:t>
            </w:r>
            <w:r w:rsidRPr="00A240A3">
              <w:rPr>
                <w:rFonts w:ascii="Calibri" w:eastAsia="Times New Roman" w:hAnsi="Calibri" w:cs="Calibri"/>
                <w:color w:val="000000"/>
                <w:sz w:val="20"/>
                <w:szCs w:val="20"/>
                <w:lang w:val="en-US" w:eastAsia="el-GR"/>
              </w:rPr>
              <w:br/>
              <w:t>Format of the Electronic Invoice</w:t>
            </w:r>
          </w:p>
        </w:tc>
        <w:tc>
          <w:tcPr>
            <w:tcW w:w="7087" w:type="dxa"/>
            <w:tcBorders>
              <w:top w:val="nil"/>
              <w:left w:val="nil"/>
              <w:bottom w:val="single" w:sz="4" w:space="0" w:color="auto"/>
              <w:right w:val="single" w:sz="4" w:space="0" w:color="auto"/>
            </w:tcBorders>
            <w:shd w:val="clear" w:color="auto" w:fill="auto"/>
            <w:vAlign w:val="center"/>
            <w:hideMark/>
          </w:tcPr>
          <w:p w14:paraId="2051D858"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1. The format of the electronic invoice issuance standard is defined, which is used in all transactions between entities, except for transactions conducted within the framework of public procurement, in accordance with the “European standard for electronic invoicing,” as defined in item 12 of Article 149 of law 4601/2019 (Government Gazette A’ 44) (EN 16931-1:2017 – Electronic Invoicing - Part 1: Semantic data model of the core elements of an electronic invoice), as well as the business rules defined in PEPPOL CIUS.</w:t>
            </w:r>
          </w:p>
        </w:tc>
        <w:tc>
          <w:tcPr>
            <w:tcW w:w="993" w:type="dxa"/>
            <w:tcBorders>
              <w:top w:val="nil"/>
              <w:left w:val="nil"/>
              <w:bottom w:val="single" w:sz="4" w:space="0" w:color="auto"/>
              <w:right w:val="single" w:sz="4" w:space="0" w:color="auto"/>
            </w:tcBorders>
            <w:shd w:val="clear" w:color="000000" w:fill="DDEBF7"/>
            <w:vAlign w:val="center"/>
            <w:hideMark/>
          </w:tcPr>
          <w:p w14:paraId="7EE5772A"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419863C"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23F8EEE"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7B5AFFD9"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6D161B4B"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481F29C9" w14:textId="77777777" w:rsidTr="009B2A0A">
        <w:trPr>
          <w:trHeight w:val="71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8C02F7A"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2</w:t>
            </w:r>
          </w:p>
        </w:tc>
        <w:tc>
          <w:tcPr>
            <w:tcW w:w="1769" w:type="dxa"/>
            <w:tcBorders>
              <w:top w:val="nil"/>
              <w:left w:val="nil"/>
              <w:bottom w:val="single" w:sz="4" w:space="0" w:color="auto"/>
              <w:right w:val="single" w:sz="4" w:space="0" w:color="auto"/>
            </w:tcBorders>
            <w:shd w:val="clear" w:color="auto" w:fill="auto"/>
            <w:vAlign w:val="center"/>
            <w:hideMark/>
          </w:tcPr>
          <w:p w14:paraId="6FEA1310"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single" w:sz="4" w:space="0" w:color="auto"/>
              <w:right w:val="single" w:sz="4" w:space="0" w:color="auto"/>
            </w:tcBorders>
            <w:shd w:val="clear" w:color="auto" w:fill="auto"/>
            <w:vAlign w:val="center"/>
            <w:hideMark/>
          </w:tcPr>
          <w:p w14:paraId="01EA526A"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 xml:space="preserve">2. Specifically, the fields and field groups that must be included in the Electronic Invoice for transactions between entities are defined, in order to ensure interoperability, while also </w:t>
            </w:r>
            <w:proofErr w:type="gramStart"/>
            <w:r w:rsidRPr="00A240A3">
              <w:rPr>
                <w:rFonts w:ascii="Calibri" w:eastAsia="Times New Roman" w:hAnsi="Calibri" w:cs="Calibri"/>
                <w:color w:val="000000"/>
                <w:sz w:val="20"/>
                <w:szCs w:val="20"/>
                <w:lang w:val="en-US" w:eastAsia="el-GR"/>
              </w:rPr>
              <w:t>taking into account</w:t>
            </w:r>
            <w:proofErr w:type="gramEnd"/>
            <w:r w:rsidRPr="00A240A3">
              <w:rPr>
                <w:rFonts w:ascii="Calibri" w:eastAsia="Times New Roman" w:hAnsi="Calibri" w:cs="Calibri"/>
                <w:color w:val="000000"/>
                <w:sz w:val="20"/>
                <w:szCs w:val="20"/>
                <w:lang w:val="en-US" w:eastAsia="el-GR"/>
              </w:rPr>
              <w:t xml:space="preserve"> the existing national, legal, and business framework.</w:t>
            </w:r>
          </w:p>
        </w:tc>
        <w:tc>
          <w:tcPr>
            <w:tcW w:w="993" w:type="dxa"/>
            <w:tcBorders>
              <w:top w:val="nil"/>
              <w:left w:val="nil"/>
              <w:bottom w:val="single" w:sz="4" w:space="0" w:color="auto"/>
              <w:right w:val="single" w:sz="4" w:space="0" w:color="auto"/>
            </w:tcBorders>
            <w:shd w:val="clear" w:color="000000" w:fill="DDEBF7"/>
            <w:vAlign w:val="center"/>
            <w:hideMark/>
          </w:tcPr>
          <w:p w14:paraId="15685AE4"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F73A103"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1F4EC2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5C15260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3260D6DA"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5DF4E935" w14:textId="77777777" w:rsidTr="009B2A0A">
        <w:trPr>
          <w:trHeight w:val="373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E92CD86"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lastRenderedPageBreak/>
              <w:t>3</w:t>
            </w:r>
          </w:p>
        </w:tc>
        <w:tc>
          <w:tcPr>
            <w:tcW w:w="1769" w:type="dxa"/>
            <w:tcBorders>
              <w:top w:val="nil"/>
              <w:left w:val="nil"/>
              <w:bottom w:val="single" w:sz="4" w:space="0" w:color="auto"/>
              <w:right w:val="single" w:sz="4" w:space="0" w:color="auto"/>
            </w:tcBorders>
            <w:shd w:val="clear" w:color="auto" w:fill="auto"/>
            <w:vAlign w:val="center"/>
            <w:hideMark/>
          </w:tcPr>
          <w:p w14:paraId="10E36ECA" w14:textId="77777777" w:rsidR="00DA0946" w:rsidRPr="00A240A3" w:rsidRDefault="00DA0946" w:rsidP="004E2238">
            <w:pPr>
              <w:spacing w:after="0" w:line="240" w:lineRule="auto"/>
              <w:jc w:val="center"/>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Article 3</w:t>
            </w:r>
            <w:r w:rsidRPr="00A240A3">
              <w:rPr>
                <w:rFonts w:ascii="Calibri" w:eastAsia="Times New Roman" w:hAnsi="Calibri" w:cs="Calibri"/>
                <w:color w:val="000000"/>
                <w:sz w:val="20"/>
                <w:szCs w:val="20"/>
                <w:lang w:val="en-US" w:eastAsia="el-GR"/>
              </w:rPr>
              <w:br/>
              <w:t>Fields of the Electronic Invoice Format</w:t>
            </w:r>
            <w:r w:rsidRPr="00A240A3">
              <w:rPr>
                <w:rFonts w:ascii="Calibri" w:eastAsia="Times New Roman" w:hAnsi="Calibri" w:cs="Calibri"/>
                <w:color w:val="000000"/>
                <w:sz w:val="20"/>
                <w:szCs w:val="20"/>
                <w:lang w:val="en-US" w:eastAsia="el-GR"/>
              </w:rPr>
              <w:br/>
              <w:t>The mandatory fields to be completed in the issuance format of the Electronic Invoice are defined as follows:</w:t>
            </w:r>
          </w:p>
        </w:tc>
        <w:tc>
          <w:tcPr>
            <w:tcW w:w="7087" w:type="dxa"/>
            <w:tcBorders>
              <w:top w:val="nil"/>
              <w:left w:val="nil"/>
              <w:bottom w:val="nil"/>
              <w:right w:val="single" w:sz="4" w:space="0" w:color="auto"/>
            </w:tcBorders>
            <w:shd w:val="clear" w:color="auto" w:fill="auto"/>
            <w:vAlign w:val="center"/>
            <w:hideMark/>
          </w:tcPr>
          <w:p w14:paraId="001DFE73"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1. The issuer of the Electronic Invoice assigns a unique Electronic Invoice number, which is contained in field BT-1 of the European Standard.</w:t>
            </w:r>
            <w:r w:rsidRPr="00A240A3">
              <w:rPr>
                <w:rFonts w:ascii="Calibri" w:eastAsia="Times New Roman" w:hAnsi="Calibri" w:cs="Calibri"/>
                <w:color w:val="000000"/>
                <w:sz w:val="20"/>
                <w:szCs w:val="20"/>
                <w:lang w:val="en-US" w:eastAsia="el-GR"/>
              </w:rPr>
              <w:br/>
              <w:t>Fields – Table A.1017/2020 [BT-1</w:t>
            </w:r>
            <w:proofErr w:type="gramStart"/>
            <w:r w:rsidRPr="00A240A3">
              <w:rPr>
                <w:rFonts w:ascii="Calibri" w:eastAsia="Times New Roman" w:hAnsi="Calibri" w:cs="Calibri"/>
                <w:color w:val="000000"/>
                <w:sz w:val="20"/>
                <w:szCs w:val="20"/>
                <w:lang w:val="en-US" w:eastAsia="el-GR"/>
              </w:rPr>
              <w:t>]:*</w:t>
            </w:r>
            <w:proofErr w:type="gramEnd"/>
            <w:r w:rsidRPr="00A240A3">
              <w:rPr>
                <w:rFonts w:ascii="Calibri" w:eastAsia="Times New Roman" w:hAnsi="Calibri" w:cs="Calibri"/>
                <w:color w:val="000000"/>
                <w:sz w:val="20"/>
                <w:szCs w:val="20"/>
                <w:lang w:val="en-US" w:eastAsia="el-GR"/>
              </w:rPr>
              <w:br/>
              <w:t>ISSUER'S TIN: The TIN of the tax document's issuer, without the country prefix, refers to tax documents issued in Greece. If the issuance is made via a tax representative, the TIN of the representative is used (see paragraph 8 of this article).</w:t>
            </w:r>
            <w:r w:rsidRPr="00A240A3">
              <w:rPr>
                <w:rFonts w:ascii="Calibri" w:eastAsia="Times New Roman" w:hAnsi="Calibri" w:cs="Calibri"/>
                <w:color w:val="000000"/>
                <w:sz w:val="20"/>
                <w:szCs w:val="20"/>
                <w:lang w:val="en-US" w:eastAsia="el-GR"/>
              </w:rPr>
              <w:br/>
              <w:t>ISSUE DATE: The date of issuance of the tax document, in DD/MM/YYYY format.</w:t>
            </w:r>
            <w:r w:rsidRPr="00A240A3">
              <w:rPr>
                <w:rFonts w:ascii="Calibri" w:eastAsia="Times New Roman" w:hAnsi="Calibri" w:cs="Calibri"/>
                <w:color w:val="000000"/>
                <w:sz w:val="20"/>
                <w:szCs w:val="20"/>
                <w:lang w:val="en-US" w:eastAsia="el-GR"/>
              </w:rPr>
              <w:br/>
              <w:t>ESTABLISHMENT NUMBER: The number of the establishment from which the tax document is issued, as registered in the tax registry. If issued at the headquarters, the value is 0.</w:t>
            </w:r>
            <w:r w:rsidRPr="00A240A3">
              <w:rPr>
                <w:rFonts w:ascii="Calibri" w:eastAsia="Times New Roman" w:hAnsi="Calibri" w:cs="Calibri"/>
                <w:color w:val="000000"/>
                <w:sz w:val="20"/>
                <w:szCs w:val="20"/>
                <w:lang w:val="en-US" w:eastAsia="el-GR"/>
              </w:rPr>
              <w:br/>
              <w:t>DOCUMENT TYPE: The code of the document according to the IAPR's data standard for documents, as published on the IAPR website: https://www.aade.gr/myDATA/tehniki-tekmiriosi.</w:t>
            </w:r>
            <w:r w:rsidRPr="00A240A3">
              <w:rPr>
                <w:rFonts w:ascii="Calibri" w:eastAsia="Times New Roman" w:hAnsi="Calibri" w:cs="Calibri"/>
                <w:color w:val="000000"/>
                <w:sz w:val="20"/>
                <w:szCs w:val="20"/>
                <w:lang w:val="en-US" w:eastAsia="el-GR"/>
              </w:rPr>
              <w:br/>
              <w:t>SERIES: Filled in if the tax document contains a “series” indicator with the corresponding alphanumeric characters. If no series exists, the value is 0.</w:t>
            </w:r>
            <w:r w:rsidRPr="00A240A3">
              <w:rPr>
                <w:rFonts w:ascii="Calibri" w:eastAsia="Times New Roman" w:hAnsi="Calibri" w:cs="Calibri"/>
                <w:color w:val="000000"/>
                <w:sz w:val="20"/>
                <w:szCs w:val="20"/>
                <w:lang w:val="en-US" w:eastAsia="el-GR"/>
              </w:rPr>
              <w:br/>
              <w:t>SERIAL NUMBER (S/N): The sequential number of the tax document issuance.</w:t>
            </w:r>
          </w:p>
        </w:tc>
        <w:tc>
          <w:tcPr>
            <w:tcW w:w="993" w:type="dxa"/>
            <w:tcBorders>
              <w:top w:val="nil"/>
              <w:left w:val="nil"/>
              <w:bottom w:val="single" w:sz="4" w:space="0" w:color="auto"/>
              <w:right w:val="single" w:sz="4" w:space="0" w:color="auto"/>
            </w:tcBorders>
            <w:shd w:val="clear" w:color="000000" w:fill="DDEBF7"/>
            <w:vAlign w:val="center"/>
            <w:hideMark/>
          </w:tcPr>
          <w:p w14:paraId="19B724B2"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2078CDF"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6B3FE71"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1235004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16588BB9"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0033048F" w14:textId="77777777" w:rsidTr="009B2A0A">
        <w:trPr>
          <w:trHeight w:val="669"/>
        </w:trPr>
        <w:tc>
          <w:tcPr>
            <w:tcW w:w="7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A38E84"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4</w:t>
            </w:r>
          </w:p>
        </w:tc>
        <w:tc>
          <w:tcPr>
            <w:tcW w:w="1769" w:type="dxa"/>
            <w:vMerge w:val="restart"/>
            <w:tcBorders>
              <w:top w:val="nil"/>
              <w:left w:val="single" w:sz="4" w:space="0" w:color="auto"/>
              <w:bottom w:val="single" w:sz="4" w:space="0" w:color="auto"/>
              <w:right w:val="nil"/>
            </w:tcBorders>
            <w:shd w:val="clear" w:color="auto" w:fill="auto"/>
            <w:noWrap/>
            <w:vAlign w:val="center"/>
            <w:hideMark/>
          </w:tcPr>
          <w:p w14:paraId="789F25E2"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single" w:sz="4" w:space="0" w:color="auto"/>
              <w:left w:val="single" w:sz="4" w:space="0" w:color="auto"/>
              <w:bottom w:val="nil"/>
              <w:right w:val="single" w:sz="4" w:space="0" w:color="auto"/>
            </w:tcBorders>
            <w:shd w:val="clear" w:color="auto" w:fill="auto"/>
            <w:vAlign w:val="center"/>
            <w:hideMark/>
          </w:tcPr>
          <w:p w14:paraId="0C7D3755"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2. For the description of the Seller, the field group BG-4 (SELLER) of the European Standard is completed.</w:t>
            </w:r>
          </w:p>
        </w:tc>
        <w:tc>
          <w:tcPr>
            <w:tcW w:w="993"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3AC05E78"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0F4E9FB"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val="restart"/>
            <w:tcBorders>
              <w:top w:val="nil"/>
              <w:left w:val="nil"/>
              <w:bottom w:val="single" w:sz="4" w:space="0" w:color="auto"/>
              <w:right w:val="single" w:sz="4" w:space="0" w:color="auto"/>
            </w:tcBorders>
            <w:shd w:val="clear" w:color="auto" w:fill="auto"/>
            <w:noWrap/>
            <w:vAlign w:val="center"/>
            <w:hideMark/>
          </w:tcPr>
          <w:p w14:paraId="4EC0E121"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98980"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2F6CE8FD"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FC1F39" w14:paraId="04688172" w14:textId="77777777" w:rsidTr="009B2A0A">
        <w:trPr>
          <w:trHeight w:val="584"/>
        </w:trPr>
        <w:tc>
          <w:tcPr>
            <w:tcW w:w="778" w:type="dxa"/>
            <w:vMerge/>
            <w:tcBorders>
              <w:top w:val="nil"/>
              <w:left w:val="single" w:sz="4" w:space="0" w:color="auto"/>
              <w:bottom w:val="single" w:sz="4" w:space="0" w:color="auto"/>
              <w:right w:val="single" w:sz="4" w:space="0" w:color="auto"/>
            </w:tcBorders>
            <w:vAlign w:val="center"/>
            <w:hideMark/>
          </w:tcPr>
          <w:p w14:paraId="4042A2D6"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576DD11F"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single" w:sz="4" w:space="0" w:color="auto"/>
              <w:right w:val="single" w:sz="4" w:space="0" w:color="auto"/>
            </w:tcBorders>
            <w:shd w:val="clear" w:color="auto" w:fill="auto"/>
            <w:vAlign w:val="center"/>
            <w:hideMark/>
          </w:tcPr>
          <w:p w14:paraId="2AFC7146" w14:textId="77777777" w:rsidR="00DA0946" w:rsidRPr="00A240A3" w:rsidRDefault="00DA0946" w:rsidP="004E2238">
            <w:pPr>
              <w:spacing w:after="0" w:line="240" w:lineRule="auto"/>
              <w:rPr>
                <w:rFonts w:ascii="Calibri" w:eastAsia="Times New Roman" w:hAnsi="Calibri" w:cs="Calibri"/>
                <w:color w:val="000000"/>
                <w:sz w:val="20"/>
                <w:szCs w:val="20"/>
                <w:u w:val="single"/>
                <w:lang w:val="en-US" w:eastAsia="el-GR"/>
              </w:rPr>
            </w:pPr>
            <w:r w:rsidRPr="00A240A3">
              <w:rPr>
                <w:rFonts w:ascii="Calibri" w:eastAsia="Times New Roman" w:hAnsi="Calibri" w:cs="Calibri"/>
                <w:color w:val="000000"/>
                <w:sz w:val="20"/>
                <w:szCs w:val="20"/>
                <w:u w:val="single"/>
                <w:lang w:val="en-US" w:eastAsia="el-GR"/>
              </w:rPr>
              <w:t>Fields of Table A.1017/2020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-27*,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-28,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-30,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-31*,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-34*</w:t>
            </w:r>
            <w:r w:rsidRPr="00A240A3">
              <w:rPr>
                <w:rFonts w:ascii="Calibri" w:eastAsia="Times New Roman" w:hAnsi="Calibri" w:cs="Calibri"/>
                <w:color w:val="000000"/>
                <w:sz w:val="20"/>
                <w:szCs w:val="20"/>
                <w:lang w:val="en-US" w:eastAsia="el-GR"/>
              </w:rPr>
              <w:t>]</w:t>
            </w:r>
          </w:p>
        </w:tc>
        <w:tc>
          <w:tcPr>
            <w:tcW w:w="993" w:type="dxa"/>
            <w:vMerge/>
            <w:tcBorders>
              <w:top w:val="nil"/>
              <w:left w:val="single" w:sz="4" w:space="0" w:color="auto"/>
              <w:bottom w:val="single" w:sz="4" w:space="0" w:color="000000"/>
              <w:right w:val="single" w:sz="4" w:space="0" w:color="auto"/>
            </w:tcBorders>
            <w:vAlign w:val="center"/>
            <w:hideMark/>
          </w:tcPr>
          <w:p w14:paraId="31924A32"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417" w:type="dxa"/>
            <w:vMerge/>
            <w:tcBorders>
              <w:top w:val="nil"/>
              <w:left w:val="single" w:sz="4" w:space="0" w:color="auto"/>
              <w:bottom w:val="single" w:sz="4" w:space="0" w:color="000000"/>
              <w:right w:val="single" w:sz="4" w:space="0" w:color="auto"/>
            </w:tcBorders>
            <w:vAlign w:val="center"/>
            <w:hideMark/>
          </w:tcPr>
          <w:p w14:paraId="543529BE"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276" w:type="dxa"/>
            <w:vMerge/>
            <w:tcBorders>
              <w:top w:val="nil"/>
              <w:left w:val="nil"/>
              <w:bottom w:val="single" w:sz="4" w:space="0" w:color="auto"/>
              <w:right w:val="single" w:sz="4" w:space="0" w:color="auto"/>
            </w:tcBorders>
            <w:vAlign w:val="center"/>
            <w:hideMark/>
          </w:tcPr>
          <w:p w14:paraId="168F461A"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913" w:type="dxa"/>
            <w:vMerge/>
            <w:tcBorders>
              <w:top w:val="nil"/>
              <w:left w:val="single" w:sz="4" w:space="0" w:color="auto"/>
              <w:bottom w:val="single" w:sz="4" w:space="0" w:color="auto"/>
              <w:right w:val="single" w:sz="4" w:space="0" w:color="auto"/>
            </w:tcBorders>
            <w:vAlign w:val="center"/>
            <w:hideMark/>
          </w:tcPr>
          <w:p w14:paraId="11811263"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1106" w:type="dxa"/>
            <w:vMerge/>
            <w:tcBorders>
              <w:top w:val="nil"/>
              <w:left w:val="single" w:sz="4" w:space="0" w:color="auto"/>
              <w:bottom w:val="single" w:sz="4" w:space="0" w:color="auto"/>
              <w:right w:val="single" w:sz="4" w:space="0" w:color="auto"/>
            </w:tcBorders>
            <w:vAlign w:val="center"/>
            <w:hideMark/>
          </w:tcPr>
          <w:p w14:paraId="1FAB299F"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r>
      <w:tr w:rsidR="00DA0946" w:rsidRPr="00A240A3" w14:paraId="6605C134" w14:textId="77777777" w:rsidTr="009B2A0A">
        <w:trPr>
          <w:trHeight w:val="846"/>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83AAD3C"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5</w:t>
            </w:r>
          </w:p>
        </w:tc>
        <w:tc>
          <w:tcPr>
            <w:tcW w:w="1769" w:type="dxa"/>
            <w:tcBorders>
              <w:top w:val="nil"/>
              <w:left w:val="nil"/>
              <w:bottom w:val="single" w:sz="4" w:space="0" w:color="auto"/>
              <w:right w:val="single" w:sz="4" w:space="0" w:color="auto"/>
            </w:tcBorders>
            <w:shd w:val="clear" w:color="auto" w:fill="auto"/>
            <w:noWrap/>
            <w:vAlign w:val="center"/>
            <w:hideMark/>
          </w:tcPr>
          <w:p w14:paraId="3E14A0D4"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single" w:sz="4" w:space="0" w:color="auto"/>
              <w:right w:val="single" w:sz="4" w:space="0" w:color="auto"/>
            </w:tcBorders>
            <w:shd w:val="clear" w:color="auto" w:fill="auto"/>
            <w:vAlign w:val="center"/>
            <w:hideMark/>
          </w:tcPr>
          <w:p w14:paraId="386AAA2D"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3.  For the description of the Seller’s full Address, the field group BG-5 (SELLER POSTAL ADDRESS) of the European Standard is completed.</w:t>
            </w:r>
          </w:p>
        </w:tc>
        <w:tc>
          <w:tcPr>
            <w:tcW w:w="993" w:type="dxa"/>
            <w:tcBorders>
              <w:top w:val="nil"/>
              <w:left w:val="nil"/>
              <w:bottom w:val="single" w:sz="4" w:space="0" w:color="auto"/>
              <w:right w:val="single" w:sz="4" w:space="0" w:color="auto"/>
            </w:tcBorders>
            <w:shd w:val="clear" w:color="000000" w:fill="DDEBF7"/>
            <w:vAlign w:val="center"/>
            <w:hideMark/>
          </w:tcPr>
          <w:p w14:paraId="6F0F4CEC"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906EC00"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99895FD"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4DBEEA85"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3037C177"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74E7B866" w14:textId="77777777" w:rsidTr="009B2A0A">
        <w:trPr>
          <w:trHeight w:val="637"/>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D2F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6</w:t>
            </w:r>
          </w:p>
        </w:tc>
        <w:tc>
          <w:tcPr>
            <w:tcW w:w="1769"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D9716DC"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single" w:sz="4" w:space="0" w:color="auto"/>
              <w:left w:val="single" w:sz="4" w:space="0" w:color="auto"/>
              <w:bottom w:val="nil"/>
              <w:right w:val="single" w:sz="4" w:space="0" w:color="auto"/>
            </w:tcBorders>
            <w:shd w:val="clear" w:color="auto" w:fill="auto"/>
            <w:vAlign w:val="center"/>
            <w:hideMark/>
          </w:tcPr>
          <w:p w14:paraId="0854DA8E"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val="en-US" w:eastAsia="el-GR"/>
              </w:rPr>
              <w:t xml:space="preserve">4. For the description of the Buyer, the field group BG-7 (BUYER) of the European Standard is completed. </w:t>
            </w:r>
            <w:proofErr w:type="spellStart"/>
            <w:r w:rsidRPr="00A240A3">
              <w:rPr>
                <w:rFonts w:ascii="Calibri" w:eastAsia="Times New Roman" w:hAnsi="Calibri" w:cs="Calibri"/>
                <w:color w:val="000000"/>
                <w:sz w:val="20"/>
                <w:szCs w:val="20"/>
                <w:lang w:eastAsia="el-GR"/>
              </w:rPr>
              <w:t>Specifically</w:t>
            </w:r>
            <w:proofErr w:type="spellEnd"/>
            <w:r w:rsidRPr="00A240A3">
              <w:rPr>
                <w:rFonts w:ascii="Calibri" w:eastAsia="Times New Roman" w:hAnsi="Calibri" w:cs="Calibri"/>
                <w:color w:val="000000"/>
                <w:sz w:val="20"/>
                <w:szCs w:val="20"/>
                <w:lang w:eastAsia="el-GR"/>
              </w:rPr>
              <w:t>:</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3A512AE4"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56E7343C"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ECBBF9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2870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32322"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FC1F39" w14:paraId="1B6E137D" w14:textId="77777777" w:rsidTr="009B2A0A">
        <w:trPr>
          <w:trHeight w:val="449"/>
        </w:trPr>
        <w:tc>
          <w:tcPr>
            <w:tcW w:w="778" w:type="dxa"/>
            <w:vMerge/>
            <w:tcBorders>
              <w:top w:val="nil"/>
              <w:left w:val="single" w:sz="4" w:space="0" w:color="auto"/>
              <w:bottom w:val="single" w:sz="4" w:space="0" w:color="auto"/>
              <w:right w:val="single" w:sz="4" w:space="0" w:color="auto"/>
            </w:tcBorders>
            <w:vAlign w:val="center"/>
            <w:hideMark/>
          </w:tcPr>
          <w:p w14:paraId="789A1437"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4A06893A"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single" w:sz="4" w:space="0" w:color="auto"/>
              <w:right w:val="single" w:sz="4" w:space="0" w:color="auto"/>
            </w:tcBorders>
            <w:shd w:val="clear" w:color="auto" w:fill="auto"/>
            <w:vAlign w:val="center"/>
            <w:hideMark/>
          </w:tcPr>
          <w:p w14:paraId="77CB4AA9" w14:textId="77777777" w:rsidR="00DA0946" w:rsidRPr="00A240A3" w:rsidRDefault="00DA0946" w:rsidP="004E2238">
            <w:pPr>
              <w:spacing w:after="0" w:line="240" w:lineRule="auto"/>
              <w:rPr>
                <w:rFonts w:ascii="Calibri" w:eastAsia="Times New Roman" w:hAnsi="Calibri" w:cs="Calibri"/>
                <w:color w:val="000000"/>
                <w:sz w:val="20"/>
                <w:szCs w:val="20"/>
                <w:u w:val="single"/>
                <w:lang w:val="en-US" w:eastAsia="el-GR"/>
              </w:rPr>
            </w:pPr>
            <w:r w:rsidRPr="00A240A3">
              <w:rPr>
                <w:rFonts w:ascii="Calibri" w:eastAsia="Times New Roman" w:hAnsi="Calibri" w:cs="Calibri"/>
                <w:color w:val="000000"/>
                <w:sz w:val="20"/>
                <w:szCs w:val="20"/>
                <w:u w:val="single"/>
                <w:lang w:val="en-US" w:eastAsia="el-GR"/>
              </w:rPr>
              <w:t xml:space="preserve">Fields of Table </w:t>
            </w:r>
            <w:r w:rsidRPr="00A240A3">
              <w:rPr>
                <w:rFonts w:ascii="Calibri" w:eastAsia="Times New Roman" w:hAnsi="Calibri" w:cs="Calibri"/>
                <w:color w:val="000000"/>
                <w:sz w:val="20"/>
                <w:szCs w:val="20"/>
                <w:u w:val="single"/>
                <w:lang w:eastAsia="el-GR"/>
              </w:rPr>
              <w:t>Α</w:t>
            </w:r>
            <w:r w:rsidRPr="00A240A3">
              <w:rPr>
                <w:rFonts w:ascii="Calibri" w:eastAsia="Times New Roman" w:hAnsi="Calibri" w:cs="Calibri"/>
                <w:color w:val="000000"/>
                <w:sz w:val="20"/>
                <w:szCs w:val="20"/>
                <w:u w:val="single"/>
                <w:lang w:val="en-US" w:eastAsia="el-GR"/>
              </w:rPr>
              <w:t>.1017/2020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-44*,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-48*,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-49*]</w:t>
            </w:r>
          </w:p>
        </w:tc>
        <w:tc>
          <w:tcPr>
            <w:tcW w:w="993" w:type="dxa"/>
            <w:vMerge/>
            <w:tcBorders>
              <w:top w:val="nil"/>
              <w:left w:val="single" w:sz="4" w:space="0" w:color="auto"/>
              <w:bottom w:val="single" w:sz="4" w:space="0" w:color="000000"/>
              <w:right w:val="single" w:sz="4" w:space="0" w:color="auto"/>
            </w:tcBorders>
            <w:vAlign w:val="center"/>
            <w:hideMark/>
          </w:tcPr>
          <w:p w14:paraId="4CFC385E"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417" w:type="dxa"/>
            <w:vMerge/>
            <w:tcBorders>
              <w:top w:val="nil"/>
              <w:left w:val="single" w:sz="4" w:space="0" w:color="auto"/>
              <w:bottom w:val="single" w:sz="4" w:space="0" w:color="000000"/>
              <w:right w:val="single" w:sz="4" w:space="0" w:color="auto"/>
            </w:tcBorders>
            <w:vAlign w:val="center"/>
            <w:hideMark/>
          </w:tcPr>
          <w:p w14:paraId="030B5B79"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276" w:type="dxa"/>
            <w:vMerge/>
            <w:tcBorders>
              <w:top w:val="nil"/>
              <w:left w:val="nil"/>
              <w:bottom w:val="single" w:sz="4" w:space="0" w:color="auto"/>
              <w:right w:val="single" w:sz="4" w:space="0" w:color="auto"/>
            </w:tcBorders>
            <w:vAlign w:val="center"/>
            <w:hideMark/>
          </w:tcPr>
          <w:p w14:paraId="65C0E4F5"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913" w:type="dxa"/>
            <w:vMerge/>
            <w:tcBorders>
              <w:top w:val="nil"/>
              <w:left w:val="single" w:sz="4" w:space="0" w:color="auto"/>
              <w:bottom w:val="single" w:sz="4" w:space="0" w:color="auto"/>
              <w:right w:val="single" w:sz="4" w:space="0" w:color="auto"/>
            </w:tcBorders>
            <w:vAlign w:val="center"/>
            <w:hideMark/>
          </w:tcPr>
          <w:p w14:paraId="341C6718"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1106" w:type="dxa"/>
            <w:vMerge/>
            <w:tcBorders>
              <w:top w:val="nil"/>
              <w:left w:val="single" w:sz="4" w:space="0" w:color="auto"/>
              <w:bottom w:val="single" w:sz="4" w:space="0" w:color="auto"/>
              <w:right w:val="single" w:sz="4" w:space="0" w:color="auto"/>
            </w:tcBorders>
            <w:vAlign w:val="center"/>
            <w:hideMark/>
          </w:tcPr>
          <w:p w14:paraId="40ABD744"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r>
      <w:tr w:rsidR="00DA0946" w:rsidRPr="00A240A3" w14:paraId="6F7EB31F" w14:textId="77777777" w:rsidTr="009B2A0A">
        <w:trPr>
          <w:trHeight w:val="90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8EE5655"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7</w:t>
            </w:r>
          </w:p>
        </w:tc>
        <w:tc>
          <w:tcPr>
            <w:tcW w:w="1769" w:type="dxa"/>
            <w:tcBorders>
              <w:top w:val="nil"/>
              <w:left w:val="nil"/>
              <w:bottom w:val="single" w:sz="4" w:space="0" w:color="auto"/>
              <w:right w:val="single" w:sz="4" w:space="0" w:color="auto"/>
            </w:tcBorders>
            <w:shd w:val="clear" w:color="auto" w:fill="auto"/>
            <w:noWrap/>
            <w:vAlign w:val="center"/>
            <w:hideMark/>
          </w:tcPr>
          <w:p w14:paraId="1A72F65D"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single" w:sz="4" w:space="0" w:color="auto"/>
              <w:right w:val="single" w:sz="4" w:space="0" w:color="auto"/>
            </w:tcBorders>
            <w:shd w:val="clear" w:color="auto" w:fill="auto"/>
            <w:vAlign w:val="center"/>
            <w:hideMark/>
          </w:tcPr>
          <w:p w14:paraId="47620E73"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5. For the description of the Buyer’s full address, the field group BG-8 (BUYER POSTAL ADDRESS) of the European Standard is completed.</w:t>
            </w:r>
          </w:p>
        </w:tc>
        <w:tc>
          <w:tcPr>
            <w:tcW w:w="993" w:type="dxa"/>
            <w:tcBorders>
              <w:top w:val="nil"/>
              <w:left w:val="nil"/>
              <w:bottom w:val="single" w:sz="4" w:space="0" w:color="auto"/>
              <w:right w:val="single" w:sz="4" w:space="0" w:color="auto"/>
            </w:tcBorders>
            <w:shd w:val="clear" w:color="000000" w:fill="DDEBF7"/>
            <w:vAlign w:val="center"/>
            <w:hideMark/>
          </w:tcPr>
          <w:p w14:paraId="17D12241"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D1BCE3C"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EC3BD99"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764D5C56"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10DC5392"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483E929F" w14:textId="77777777" w:rsidTr="009B2A0A">
        <w:trPr>
          <w:trHeight w:val="637"/>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971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8</w:t>
            </w:r>
          </w:p>
        </w:tc>
        <w:tc>
          <w:tcPr>
            <w:tcW w:w="1769"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D73E7E9"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4AE35"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6. In cases where a Tax Representative is appointed, the field group BG-11 (TAX REPRESENTATIVE) of the European Standard is completed.</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CEC1BEB"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8F7D917"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57503593"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29BC"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1E942"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FC1F39" w14:paraId="5A2029FC" w14:textId="77777777" w:rsidTr="009B2A0A">
        <w:trPr>
          <w:trHeight w:val="512"/>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38BAB2A"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single" w:sz="4" w:space="0" w:color="auto"/>
              <w:left w:val="single" w:sz="4" w:space="0" w:color="auto"/>
              <w:bottom w:val="single" w:sz="4" w:space="0" w:color="auto"/>
              <w:right w:val="nil"/>
            </w:tcBorders>
            <w:vAlign w:val="center"/>
            <w:hideMark/>
          </w:tcPr>
          <w:p w14:paraId="40323616"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BCF0" w14:textId="77777777" w:rsidR="00DA0946" w:rsidRPr="00A240A3" w:rsidRDefault="00DA0946" w:rsidP="004E2238">
            <w:pPr>
              <w:spacing w:after="0" w:line="240" w:lineRule="auto"/>
              <w:rPr>
                <w:rFonts w:ascii="Calibri" w:eastAsia="Times New Roman" w:hAnsi="Calibri" w:cs="Calibri"/>
                <w:color w:val="000000"/>
                <w:sz w:val="20"/>
                <w:szCs w:val="20"/>
                <w:u w:val="single"/>
                <w:lang w:val="en-US" w:eastAsia="el-GR"/>
              </w:rPr>
            </w:pPr>
            <w:r w:rsidRPr="00A240A3">
              <w:rPr>
                <w:rFonts w:ascii="Calibri" w:eastAsia="Times New Roman" w:hAnsi="Calibri" w:cs="Calibri"/>
                <w:color w:val="000000"/>
                <w:sz w:val="20"/>
                <w:szCs w:val="20"/>
                <w:u w:val="single"/>
                <w:lang w:val="en-US" w:eastAsia="el-GR"/>
              </w:rPr>
              <w:t xml:space="preserve">Fields of Table </w:t>
            </w:r>
            <w:r w:rsidRPr="00A240A3">
              <w:rPr>
                <w:rFonts w:ascii="Calibri" w:eastAsia="Times New Roman" w:hAnsi="Calibri" w:cs="Calibri"/>
                <w:color w:val="000000"/>
                <w:sz w:val="20"/>
                <w:szCs w:val="20"/>
                <w:u w:val="single"/>
                <w:lang w:eastAsia="el-GR"/>
              </w:rPr>
              <w:t>Α</w:t>
            </w:r>
            <w:r w:rsidRPr="00A240A3">
              <w:rPr>
                <w:rFonts w:ascii="Calibri" w:eastAsia="Times New Roman" w:hAnsi="Calibri" w:cs="Calibri"/>
                <w:color w:val="000000"/>
                <w:sz w:val="20"/>
                <w:szCs w:val="20"/>
                <w:u w:val="single"/>
                <w:lang w:val="en-US" w:eastAsia="el-GR"/>
              </w:rPr>
              <w:t>.1017/2020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-62*,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-63*]</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7CA1FF4"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038822C"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276" w:type="dxa"/>
            <w:vMerge/>
            <w:tcBorders>
              <w:top w:val="single" w:sz="4" w:space="0" w:color="auto"/>
              <w:left w:val="nil"/>
              <w:bottom w:val="single" w:sz="4" w:space="0" w:color="auto"/>
              <w:right w:val="single" w:sz="4" w:space="0" w:color="auto"/>
            </w:tcBorders>
            <w:vAlign w:val="center"/>
            <w:hideMark/>
          </w:tcPr>
          <w:p w14:paraId="52E6A41B"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75327CA4"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2CE4A1CE"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r>
      <w:tr w:rsidR="00DA0946" w:rsidRPr="00A240A3" w14:paraId="0AF5A810" w14:textId="77777777" w:rsidTr="009B2A0A">
        <w:trPr>
          <w:trHeight w:val="742"/>
        </w:trPr>
        <w:tc>
          <w:tcPr>
            <w:tcW w:w="7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F793B2"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9</w:t>
            </w:r>
          </w:p>
        </w:tc>
        <w:tc>
          <w:tcPr>
            <w:tcW w:w="1769" w:type="dxa"/>
            <w:vMerge w:val="restart"/>
            <w:tcBorders>
              <w:top w:val="nil"/>
              <w:left w:val="single" w:sz="4" w:space="0" w:color="auto"/>
              <w:bottom w:val="single" w:sz="4" w:space="0" w:color="auto"/>
              <w:right w:val="nil"/>
            </w:tcBorders>
            <w:shd w:val="clear" w:color="auto" w:fill="auto"/>
            <w:vAlign w:val="center"/>
            <w:hideMark/>
          </w:tcPr>
          <w:p w14:paraId="1AE9E3C4"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single" w:sz="4" w:space="0" w:color="auto"/>
              <w:bottom w:val="nil"/>
              <w:right w:val="single" w:sz="4" w:space="0" w:color="auto"/>
            </w:tcBorders>
            <w:shd w:val="clear" w:color="auto" w:fill="auto"/>
            <w:vAlign w:val="center"/>
            <w:hideMark/>
          </w:tcPr>
          <w:p w14:paraId="19D3905A"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val="en-US" w:eastAsia="el-GR"/>
              </w:rPr>
              <w:t xml:space="preserve">7. The fields of group BG-15 (DELIVER TO ADDRESS) are mandatory for declaring the delivery address of the products. </w:t>
            </w:r>
            <w:proofErr w:type="spellStart"/>
            <w:r w:rsidRPr="00A240A3">
              <w:rPr>
                <w:rFonts w:ascii="Calibri" w:eastAsia="Times New Roman" w:hAnsi="Calibri" w:cs="Calibri"/>
                <w:color w:val="000000"/>
                <w:sz w:val="20"/>
                <w:szCs w:val="20"/>
                <w:lang w:eastAsia="el-GR"/>
              </w:rPr>
              <w:t>Specifically</w:t>
            </w:r>
            <w:proofErr w:type="spellEnd"/>
            <w:r w:rsidRPr="00A240A3">
              <w:rPr>
                <w:rFonts w:ascii="Calibri" w:eastAsia="Times New Roman" w:hAnsi="Calibri" w:cs="Calibri"/>
                <w:color w:val="000000"/>
                <w:sz w:val="20"/>
                <w:szCs w:val="20"/>
                <w:lang w:eastAsia="el-GR"/>
              </w:rPr>
              <w:t xml:space="preserve">: </w:t>
            </w:r>
          </w:p>
        </w:tc>
        <w:tc>
          <w:tcPr>
            <w:tcW w:w="993"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64557E5F"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3EDDECC3"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val="restart"/>
            <w:tcBorders>
              <w:top w:val="nil"/>
              <w:left w:val="nil"/>
              <w:bottom w:val="single" w:sz="4" w:space="0" w:color="auto"/>
              <w:right w:val="single" w:sz="4" w:space="0" w:color="auto"/>
            </w:tcBorders>
            <w:shd w:val="clear" w:color="auto" w:fill="auto"/>
            <w:noWrap/>
            <w:vAlign w:val="center"/>
            <w:hideMark/>
          </w:tcPr>
          <w:p w14:paraId="62D0BE0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79797"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0D1F75C4"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FC1F39" w14:paraId="4A3A0206" w14:textId="77777777" w:rsidTr="009B2A0A">
        <w:trPr>
          <w:trHeight w:val="438"/>
        </w:trPr>
        <w:tc>
          <w:tcPr>
            <w:tcW w:w="778" w:type="dxa"/>
            <w:vMerge/>
            <w:tcBorders>
              <w:top w:val="nil"/>
              <w:left w:val="single" w:sz="4" w:space="0" w:color="auto"/>
              <w:bottom w:val="single" w:sz="4" w:space="0" w:color="auto"/>
              <w:right w:val="single" w:sz="4" w:space="0" w:color="auto"/>
            </w:tcBorders>
            <w:vAlign w:val="center"/>
            <w:hideMark/>
          </w:tcPr>
          <w:p w14:paraId="0D3D28B6"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7E4F78BF"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single" w:sz="4" w:space="0" w:color="auto"/>
              <w:right w:val="single" w:sz="4" w:space="0" w:color="auto"/>
            </w:tcBorders>
            <w:shd w:val="clear" w:color="auto" w:fill="auto"/>
            <w:vAlign w:val="center"/>
            <w:hideMark/>
          </w:tcPr>
          <w:p w14:paraId="49D84527" w14:textId="77777777" w:rsidR="00DA0946" w:rsidRPr="00A240A3" w:rsidRDefault="00DA0946" w:rsidP="004E2238">
            <w:pPr>
              <w:spacing w:after="0" w:line="240" w:lineRule="auto"/>
              <w:rPr>
                <w:rFonts w:ascii="Calibri" w:eastAsia="Times New Roman" w:hAnsi="Calibri" w:cs="Calibri"/>
                <w:color w:val="000000"/>
                <w:sz w:val="20"/>
                <w:szCs w:val="20"/>
                <w:u w:val="single"/>
                <w:lang w:val="en-US" w:eastAsia="el-GR"/>
              </w:rPr>
            </w:pPr>
            <w:r w:rsidRPr="00A240A3">
              <w:rPr>
                <w:rFonts w:ascii="Calibri" w:eastAsia="Times New Roman" w:hAnsi="Calibri" w:cs="Calibri"/>
                <w:color w:val="000000"/>
                <w:sz w:val="20"/>
                <w:szCs w:val="20"/>
                <w:u w:val="single"/>
                <w:lang w:val="en-US" w:eastAsia="el-GR"/>
              </w:rPr>
              <w:t xml:space="preserve">Fields of Table </w:t>
            </w:r>
            <w:r w:rsidRPr="00A240A3">
              <w:rPr>
                <w:rFonts w:ascii="Calibri" w:eastAsia="Times New Roman" w:hAnsi="Calibri" w:cs="Calibri"/>
                <w:color w:val="000000"/>
                <w:sz w:val="20"/>
                <w:szCs w:val="20"/>
                <w:u w:val="single"/>
                <w:lang w:eastAsia="el-GR"/>
              </w:rPr>
              <w:t>Α</w:t>
            </w:r>
            <w:r w:rsidRPr="00A240A3">
              <w:rPr>
                <w:rFonts w:ascii="Calibri" w:eastAsia="Times New Roman" w:hAnsi="Calibri" w:cs="Calibri"/>
                <w:color w:val="000000"/>
                <w:sz w:val="20"/>
                <w:szCs w:val="20"/>
                <w:u w:val="single"/>
                <w:lang w:val="en-US" w:eastAsia="el-GR"/>
              </w:rPr>
              <w:t>.1017/2020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-75*,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-77*,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-78*]</w:t>
            </w:r>
          </w:p>
        </w:tc>
        <w:tc>
          <w:tcPr>
            <w:tcW w:w="993" w:type="dxa"/>
            <w:vMerge/>
            <w:tcBorders>
              <w:top w:val="nil"/>
              <w:left w:val="single" w:sz="4" w:space="0" w:color="auto"/>
              <w:bottom w:val="single" w:sz="4" w:space="0" w:color="000000"/>
              <w:right w:val="single" w:sz="4" w:space="0" w:color="auto"/>
            </w:tcBorders>
            <w:vAlign w:val="center"/>
            <w:hideMark/>
          </w:tcPr>
          <w:p w14:paraId="08E1B61F"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417" w:type="dxa"/>
            <w:vMerge/>
            <w:tcBorders>
              <w:top w:val="nil"/>
              <w:left w:val="single" w:sz="4" w:space="0" w:color="auto"/>
              <w:bottom w:val="single" w:sz="4" w:space="0" w:color="000000"/>
              <w:right w:val="single" w:sz="4" w:space="0" w:color="auto"/>
            </w:tcBorders>
            <w:vAlign w:val="center"/>
            <w:hideMark/>
          </w:tcPr>
          <w:p w14:paraId="56148BA4" w14:textId="77777777" w:rsidR="00DA0946" w:rsidRPr="00A240A3" w:rsidRDefault="00DA0946" w:rsidP="004E2238">
            <w:pPr>
              <w:spacing w:after="0" w:line="240" w:lineRule="auto"/>
              <w:rPr>
                <w:rFonts w:ascii="Calibri" w:eastAsia="Times New Roman" w:hAnsi="Calibri" w:cs="Calibri"/>
                <w:b/>
                <w:bCs/>
                <w:color w:val="000000"/>
                <w:sz w:val="28"/>
                <w:szCs w:val="28"/>
                <w:lang w:val="en-US" w:eastAsia="el-GR"/>
              </w:rPr>
            </w:pPr>
          </w:p>
        </w:tc>
        <w:tc>
          <w:tcPr>
            <w:tcW w:w="1276" w:type="dxa"/>
            <w:vMerge/>
            <w:tcBorders>
              <w:top w:val="nil"/>
              <w:left w:val="nil"/>
              <w:bottom w:val="single" w:sz="4" w:space="0" w:color="auto"/>
              <w:right w:val="single" w:sz="4" w:space="0" w:color="auto"/>
            </w:tcBorders>
            <w:vAlign w:val="center"/>
            <w:hideMark/>
          </w:tcPr>
          <w:p w14:paraId="6D3DFE3F"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913" w:type="dxa"/>
            <w:vMerge/>
            <w:tcBorders>
              <w:top w:val="nil"/>
              <w:left w:val="single" w:sz="4" w:space="0" w:color="auto"/>
              <w:bottom w:val="single" w:sz="4" w:space="0" w:color="auto"/>
              <w:right w:val="single" w:sz="4" w:space="0" w:color="auto"/>
            </w:tcBorders>
            <w:vAlign w:val="center"/>
            <w:hideMark/>
          </w:tcPr>
          <w:p w14:paraId="7E4FB7C3"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c>
          <w:tcPr>
            <w:tcW w:w="1106" w:type="dxa"/>
            <w:vMerge/>
            <w:tcBorders>
              <w:top w:val="nil"/>
              <w:left w:val="single" w:sz="4" w:space="0" w:color="auto"/>
              <w:bottom w:val="single" w:sz="4" w:space="0" w:color="auto"/>
              <w:right w:val="single" w:sz="4" w:space="0" w:color="auto"/>
            </w:tcBorders>
            <w:vAlign w:val="center"/>
            <w:hideMark/>
          </w:tcPr>
          <w:p w14:paraId="53499DDD"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p>
        </w:tc>
      </w:tr>
      <w:tr w:rsidR="00DA0946" w:rsidRPr="00A240A3" w14:paraId="7E0FE0E5" w14:textId="77777777" w:rsidTr="009B2A0A">
        <w:trPr>
          <w:trHeight w:val="1393"/>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E6C78BF"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10</w:t>
            </w:r>
          </w:p>
        </w:tc>
        <w:tc>
          <w:tcPr>
            <w:tcW w:w="1769" w:type="dxa"/>
            <w:tcBorders>
              <w:top w:val="nil"/>
              <w:left w:val="nil"/>
              <w:bottom w:val="single" w:sz="4" w:space="0" w:color="auto"/>
              <w:right w:val="single" w:sz="4" w:space="0" w:color="auto"/>
            </w:tcBorders>
            <w:shd w:val="clear" w:color="auto" w:fill="auto"/>
            <w:vAlign w:val="center"/>
            <w:hideMark/>
          </w:tcPr>
          <w:p w14:paraId="126105B1"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nil"/>
              <w:right w:val="single" w:sz="4" w:space="0" w:color="auto"/>
            </w:tcBorders>
            <w:shd w:val="clear" w:color="auto" w:fill="auto"/>
            <w:vAlign w:val="center"/>
            <w:hideMark/>
          </w:tcPr>
          <w:p w14:paraId="2F2403A9"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8. Information related to tax withholdings and third-party deductions is filled in group BG-20 (DOCUMENT LEVEL ALLOWANCES) and refers to the entire Electronic Invoice, whereas in group BG-27 (INVOICE LINE ALLOWANCES) the information refers to each individual line.</w:t>
            </w:r>
          </w:p>
        </w:tc>
        <w:tc>
          <w:tcPr>
            <w:tcW w:w="993" w:type="dxa"/>
            <w:tcBorders>
              <w:top w:val="nil"/>
              <w:left w:val="nil"/>
              <w:bottom w:val="single" w:sz="4" w:space="0" w:color="auto"/>
              <w:right w:val="single" w:sz="4" w:space="0" w:color="auto"/>
            </w:tcBorders>
            <w:shd w:val="clear" w:color="000000" w:fill="DDEBF7"/>
            <w:vAlign w:val="center"/>
            <w:hideMark/>
          </w:tcPr>
          <w:p w14:paraId="13AD3241"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66DA281"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7002639"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0BC74030"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75F61EFE"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5F26A80C" w14:textId="77777777" w:rsidTr="009B2A0A">
        <w:trPr>
          <w:trHeight w:val="532"/>
        </w:trPr>
        <w:tc>
          <w:tcPr>
            <w:tcW w:w="7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339D50"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11</w:t>
            </w:r>
          </w:p>
        </w:tc>
        <w:tc>
          <w:tcPr>
            <w:tcW w:w="1769" w:type="dxa"/>
            <w:vMerge w:val="restart"/>
            <w:tcBorders>
              <w:top w:val="nil"/>
              <w:left w:val="single" w:sz="4" w:space="0" w:color="auto"/>
              <w:bottom w:val="single" w:sz="4" w:space="0" w:color="auto"/>
              <w:right w:val="nil"/>
            </w:tcBorders>
            <w:shd w:val="clear" w:color="auto" w:fill="auto"/>
            <w:vAlign w:val="center"/>
            <w:hideMark/>
          </w:tcPr>
          <w:p w14:paraId="5126E419"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single" w:sz="4" w:space="0" w:color="auto"/>
              <w:left w:val="single" w:sz="4" w:space="0" w:color="auto"/>
              <w:bottom w:val="nil"/>
              <w:right w:val="single" w:sz="4" w:space="0" w:color="auto"/>
            </w:tcBorders>
            <w:shd w:val="clear" w:color="auto" w:fill="auto"/>
            <w:vAlign w:val="center"/>
            <w:hideMark/>
          </w:tcPr>
          <w:p w14:paraId="5C096B59"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9. The Value Added Tax (VAT) information that is provided, at a minimum, in an Electronic Invoice:</w:t>
            </w:r>
          </w:p>
        </w:tc>
        <w:tc>
          <w:tcPr>
            <w:tcW w:w="993" w:type="dxa"/>
            <w:tcBorders>
              <w:top w:val="single" w:sz="4" w:space="0" w:color="auto"/>
              <w:left w:val="nil"/>
              <w:bottom w:val="single" w:sz="4" w:space="0" w:color="auto"/>
              <w:right w:val="single" w:sz="4" w:space="0" w:color="auto"/>
            </w:tcBorders>
            <w:shd w:val="clear" w:color="000000" w:fill="auto"/>
            <w:vAlign w:val="center"/>
            <w:hideMark/>
          </w:tcPr>
          <w:p w14:paraId="70680E1F" w14:textId="77777777" w:rsidR="00DA0946" w:rsidRPr="00BA0FA8" w:rsidRDefault="00DA0946" w:rsidP="004E2238">
            <w:pPr>
              <w:spacing w:after="0" w:line="240" w:lineRule="auto"/>
              <w:jc w:val="center"/>
              <w:rPr>
                <w:rFonts w:ascii="Calibri" w:eastAsia="Times New Roman" w:hAnsi="Calibri" w:cs="Calibri"/>
                <w:b/>
                <w:bCs/>
                <w:color w:val="000000"/>
                <w:sz w:val="28"/>
                <w:szCs w:val="28"/>
                <w:lang w:val="en-US" w:eastAsia="el-GR"/>
              </w:rPr>
            </w:pPr>
            <w:r w:rsidRPr="00BA0FA8">
              <w:rPr>
                <w:rFonts w:ascii="Calibri" w:eastAsia="Times New Roman" w:hAnsi="Calibri" w:cs="Calibri"/>
                <w:b/>
                <w:bCs/>
                <w:color w:val="000000"/>
                <w:sz w:val="28"/>
                <w:szCs w:val="28"/>
                <w:lang w:val="en-US" w:eastAsia="el-GR"/>
              </w:rPr>
              <w:t> </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62F29E77" w14:textId="77777777" w:rsidR="00DA0946" w:rsidRPr="00BA0FA8" w:rsidRDefault="00DA0946" w:rsidP="004E2238">
            <w:pPr>
              <w:spacing w:after="0" w:line="240" w:lineRule="auto"/>
              <w:jc w:val="center"/>
              <w:rPr>
                <w:rFonts w:ascii="Calibri" w:eastAsia="Times New Roman" w:hAnsi="Calibri" w:cs="Calibri"/>
                <w:b/>
                <w:bCs/>
                <w:color w:val="000000"/>
                <w:sz w:val="28"/>
                <w:szCs w:val="28"/>
                <w:lang w:val="en-US" w:eastAsia="el-GR"/>
              </w:rPr>
            </w:pPr>
            <w:r w:rsidRPr="00BA0FA8">
              <w:rPr>
                <w:rFonts w:ascii="Calibri" w:eastAsia="Times New Roman" w:hAnsi="Calibri" w:cs="Calibri"/>
                <w:b/>
                <w:bCs/>
                <w:color w:val="000000"/>
                <w:sz w:val="28"/>
                <w:szCs w:val="28"/>
                <w:lang w:val="en-US" w:eastAsia="el-GR"/>
              </w:rPr>
              <w:t> </w:t>
            </w:r>
          </w:p>
        </w:tc>
        <w:tc>
          <w:tcPr>
            <w:tcW w:w="1276" w:type="dxa"/>
            <w:vMerge w:val="restart"/>
            <w:tcBorders>
              <w:top w:val="nil"/>
              <w:left w:val="nil"/>
              <w:bottom w:val="single" w:sz="4" w:space="0" w:color="auto"/>
              <w:right w:val="single" w:sz="4" w:space="0" w:color="auto"/>
            </w:tcBorders>
            <w:shd w:val="clear" w:color="auto" w:fill="auto"/>
            <w:noWrap/>
            <w:vAlign w:val="center"/>
            <w:hideMark/>
          </w:tcPr>
          <w:p w14:paraId="10B627F4"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7849F"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02179E75"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4C22268A" w14:textId="77777777" w:rsidTr="009B2A0A">
        <w:trPr>
          <w:trHeight w:val="344"/>
        </w:trPr>
        <w:tc>
          <w:tcPr>
            <w:tcW w:w="778" w:type="dxa"/>
            <w:vMerge/>
            <w:tcBorders>
              <w:top w:val="nil"/>
              <w:left w:val="single" w:sz="4" w:space="0" w:color="auto"/>
              <w:bottom w:val="single" w:sz="4" w:space="0" w:color="auto"/>
              <w:right w:val="single" w:sz="4" w:space="0" w:color="auto"/>
            </w:tcBorders>
            <w:vAlign w:val="center"/>
            <w:hideMark/>
          </w:tcPr>
          <w:p w14:paraId="6909C161"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364CA218"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nil"/>
              <w:right w:val="single" w:sz="4" w:space="0" w:color="auto"/>
            </w:tcBorders>
            <w:shd w:val="clear" w:color="auto" w:fill="auto"/>
            <w:vAlign w:val="center"/>
            <w:hideMark/>
          </w:tcPr>
          <w:p w14:paraId="34F35639"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Value Added Tax (VAT) Information at the Document Level (DOCUMENT LEVEL VAT)</w:t>
            </w:r>
          </w:p>
        </w:tc>
        <w:tc>
          <w:tcPr>
            <w:tcW w:w="993" w:type="dxa"/>
            <w:tcBorders>
              <w:top w:val="nil"/>
              <w:left w:val="nil"/>
              <w:bottom w:val="single" w:sz="4" w:space="0" w:color="auto"/>
              <w:right w:val="single" w:sz="4" w:space="0" w:color="auto"/>
            </w:tcBorders>
            <w:shd w:val="clear" w:color="000000" w:fill="DDEBF7"/>
            <w:vAlign w:val="center"/>
            <w:hideMark/>
          </w:tcPr>
          <w:p w14:paraId="763FAAEF"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38D980D"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tcBorders>
              <w:top w:val="nil"/>
              <w:left w:val="nil"/>
              <w:bottom w:val="single" w:sz="4" w:space="0" w:color="auto"/>
              <w:right w:val="single" w:sz="4" w:space="0" w:color="auto"/>
            </w:tcBorders>
            <w:vAlign w:val="center"/>
            <w:hideMark/>
          </w:tcPr>
          <w:p w14:paraId="6A0EDCB3"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913" w:type="dxa"/>
            <w:vMerge/>
            <w:tcBorders>
              <w:top w:val="nil"/>
              <w:left w:val="single" w:sz="4" w:space="0" w:color="auto"/>
              <w:bottom w:val="single" w:sz="4" w:space="0" w:color="auto"/>
              <w:right w:val="single" w:sz="4" w:space="0" w:color="auto"/>
            </w:tcBorders>
            <w:vAlign w:val="center"/>
            <w:hideMark/>
          </w:tcPr>
          <w:p w14:paraId="57359EC9"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106" w:type="dxa"/>
            <w:vMerge/>
            <w:tcBorders>
              <w:top w:val="nil"/>
              <w:left w:val="single" w:sz="4" w:space="0" w:color="auto"/>
              <w:bottom w:val="single" w:sz="4" w:space="0" w:color="auto"/>
              <w:right w:val="single" w:sz="4" w:space="0" w:color="auto"/>
            </w:tcBorders>
            <w:vAlign w:val="center"/>
            <w:hideMark/>
          </w:tcPr>
          <w:p w14:paraId="3F19641B"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r>
      <w:tr w:rsidR="00DA0946" w:rsidRPr="00A240A3" w14:paraId="21C05D81" w14:textId="77777777" w:rsidTr="009B2A0A">
        <w:trPr>
          <w:trHeight w:val="512"/>
        </w:trPr>
        <w:tc>
          <w:tcPr>
            <w:tcW w:w="778" w:type="dxa"/>
            <w:vMerge/>
            <w:tcBorders>
              <w:top w:val="nil"/>
              <w:left w:val="single" w:sz="4" w:space="0" w:color="auto"/>
              <w:bottom w:val="single" w:sz="4" w:space="0" w:color="auto"/>
              <w:right w:val="single" w:sz="4" w:space="0" w:color="auto"/>
            </w:tcBorders>
            <w:vAlign w:val="center"/>
            <w:hideMark/>
          </w:tcPr>
          <w:p w14:paraId="552D67F4"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49F9E417"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nil"/>
              <w:right w:val="single" w:sz="4" w:space="0" w:color="auto"/>
            </w:tcBorders>
            <w:shd w:val="clear" w:color="auto" w:fill="auto"/>
            <w:vAlign w:val="center"/>
            <w:hideMark/>
          </w:tcPr>
          <w:p w14:paraId="12B02824" w14:textId="77777777" w:rsidR="00DA0946" w:rsidRPr="00A240A3" w:rsidRDefault="00DA0946" w:rsidP="004E2238">
            <w:pPr>
              <w:spacing w:after="0" w:line="240" w:lineRule="auto"/>
              <w:rPr>
                <w:rFonts w:ascii="Calibri" w:eastAsia="Times New Roman" w:hAnsi="Calibri" w:cs="Calibri"/>
                <w:color w:val="000000"/>
                <w:sz w:val="20"/>
                <w:szCs w:val="20"/>
                <w:u w:val="single"/>
                <w:lang w:eastAsia="el-GR"/>
              </w:rPr>
            </w:pPr>
            <w:proofErr w:type="spellStart"/>
            <w:r w:rsidRPr="00A240A3">
              <w:rPr>
                <w:rFonts w:ascii="Calibri" w:eastAsia="Times New Roman" w:hAnsi="Calibri" w:cs="Calibri"/>
                <w:color w:val="000000"/>
                <w:sz w:val="20"/>
                <w:szCs w:val="20"/>
                <w:u w:val="single"/>
                <w:lang w:eastAsia="el-GR"/>
              </w:rPr>
              <w:t>Fields</w:t>
            </w:r>
            <w:proofErr w:type="spellEnd"/>
            <w:r w:rsidRPr="00A240A3">
              <w:rPr>
                <w:rFonts w:ascii="Calibri" w:eastAsia="Times New Roman" w:hAnsi="Calibri" w:cs="Calibri"/>
                <w:color w:val="000000"/>
                <w:sz w:val="20"/>
                <w:szCs w:val="20"/>
                <w:u w:val="single"/>
                <w:lang w:eastAsia="el-GR"/>
              </w:rPr>
              <w:t xml:space="preserve"> of </w:t>
            </w:r>
            <w:proofErr w:type="spellStart"/>
            <w:r w:rsidRPr="00A240A3">
              <w:rPr>
                <w:rFonts w:ascii="Calibri" w:eastAsia="Times New Roman" w:hAnsi="Calibri" w:cs="Calibri"/>
                <w:color w:val="000000"/>
                <w:sz w:val="20"/>
                <w:szCs w:val="20"/>
                <w:u w:val="single"/>
                <w:lang w:eastAsia="el-GR"/>
              </w:rPr>
              <w:t>Table</w:t>
            </w:r>
            <w:proofErr w:type="spellEnd"/>
            <w:r w:rsidRPr="00A240A3">
              <w:rPr>
                <w:rFonts w:ascii="Calibri" w:eastAsia="Times New Roman" w:hAnsi="Calibri" w:cs="Calibri"/>
                <w:color w:val="000000"/>
                <w:sz w:val="20"/>
                <w:szCs w:val="20"/>
                <w:u w:val="single"/>
                <w:lang w:eastAsia="el-GR"/>
              </w:rPr>
              <w:t xml:space="preserve"> Α.1017/2020 [ΒΤ-95*, ΒΤ-102*, ΒΤ-110*ΒΤ-112*, ΒΤ-116*, ΒΤ-117*, ΒΤ-118*, ΒΤ-119, ΒΤ-120*, ΒΤ-121*]</w:t>
            </w:r>
          </w:p>
        </w:tc>
        <w:tc>
          <w:tcPr>
            <w:tcW w:w="993" w:type="dxa"/>
            <w:tcBorders>
              <w:top w:val="nil"/>
              <w:left w:val="nil"/>
              <w:bottom w:val="single" w:sz="4" w:space="0" w:color="auto"/>
              <w:right w:val="single" w:sz="4" w:space="0" w:color="auto"/>
            </w:tcBorders>
            <w:shd w:val="clear" w:color="000000" w:fill="DDEBF7"/>
            <w:vAlign w:val="center"/>
            <w:hideMark/>
          </w:tcPr>
          <w:p w14:paraId="0B00A222"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258968B"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tcBorders>
              <w:top w:val="nil"/>
              <w:left w:val="nil"/>
              <w:bottom w:val="single" w:sz="4" w:space="0" w:color="auto"/>
              <w:right w:val="single" w:sz="4" w:space="0" w:color="auto"/>
            </w:tcBorders>
            <w:vAlign w:val="center"/>
            <w:hideMark/>
          </w:tcPr>
          <w:p w14:paraId="0B942213"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913" w:type="dxa"/>
            <w:vMerge/>
            <w:tcBorders>
              <w:top w:val="nil"/>
              <w:left w:val="single" w:sz="4" w:space="0" w:color="auto"/>
              <w:bottom w:val="single" w:sz="4" w:space="0" w:color="auto"/>
              <w:right w:val="single" w:sz="4" w:space="0" w:color="auto"/>
            </w:tcBorders>
            <w:vAlign w:val="center"/>
            <w:hideMark/>
          </w:tcPr>
          <w:p w14:paraId="4CEBE2A2"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106" w:type="dxa"/>
            <w:vMerge/>
            <w:tcBorders>
              <w:top w:val="nil"/>
              <w:left w:val="single" w:sz="4" w:space="0" w:color="auto"/>
              <w:bottom w:val="single" w:sz="4" w:space="0" w:color="auto"/>
              <w:right w:val="single" w:sz="4" w:space="0" w:color="auto"/>
            </w:tcBorders>
            <w:vAlign w:val="center"/>
            <w:hideMark/>
          </w:tcPr>
          <w:p w14:paraId="10622F61"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r>
      <w:tr w:rsidR="00DA0946" w:rsidRPr="00A240A3" w14:paraId="6B165450" w14:textId="77777777" w:rsidTr="009B2A0A">
        <w:trPr>
          <w:trHeight w:val="438"/>
        </w:trPr>
        <w:tc>
          <w:tcPr>
            <w:tcW w:w="778" w:type="dxa"/>
            <w:vMerge/>
            <w:tcBorders>
              <w:top w:val="nil"/>
              <w:left w:val="single" w:sz="4" w:space="0" w:color="auto"/>
              <w:bottom w:val="single" w:sz="4" w:space="0" w:color="auto"/>
              <w:right w:val="single" w:sz="4" w:space="0" w:color="auto"/>
            </w:tcBorders>
            <w:vAlign w:val="center"/>
            <w:hideMark/>
          </w:tcPr>
          <w:p w14:paraId="6BCFD95B"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1FD25A71"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nil"/>
              <w:right w:val="single" w:sz="4" w:space="0" w:color="auto"/>
            </w:tcBorders>
            <w:shd w:val="clear" w:color="auto" w:fill="auto"/>
            <w:vAlign w:val="center"/>
            <w:hideMark/>
          </w:tcPr>
          <w:p w14:paraId="63E4678E"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Value Added Tax (VAT) Information at the Line Item Level (INVOICE LINE VAT)</w:t>
            </w:r>
          </w:p>
        </w:tc>
        <w:tc>
          <w:tcPr>
            <w:tcW w:w="993" w:type="dxa"/>
            <w:tcBorders>
              <w:top w:val="nil"/>
              <w:left w:val="nil"/>
              <w:bottom w:val="single" w:sz="4" w:space="0" w:color="auto"/>
              <w:right w:val="single" w:sz="4" w:space="0" w:color="auto"/>
            </w:tcBorders>
            <w:shd w:val="clear" w:color="000000" w:fill="DDEBF7"/>
            <w:vAlign w:val="center"/>
            <w:hideMark/>
          </w:tcPr>
          <w:p w14:paraId="4C65AFDE"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418A618"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tcBorders>
              <w:top w:val="nil"/>
              <w:left w:val="nil"/>
              <w:bottom w:val="single" w:sz="4" w:space="0" w:color="auto"/>
              <w:right w:val="single" w:sz="4" w:space="0" w:color="auto"/>
            </w:tcBorders>
            <w:vAlign w:val="center"/>
            <w:hideMark/>
          </w:tcPr>
          <w:p w14:paraId="70A8EDBD"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913" w:type="dxa"/>
            <w:vMerge/>
            <w:tcBorders>
              <w:top w:val="nil"/>
              <w:left w:val="single" w:sz="4" w:space="0" w:color="auto"/>
              <w:bottom w:val="single" w:sz="4" w:space="0" w:color="auto"/>
              <w:right w:val="single" w:sz="4" w:space="0" w:color="auto"/>
            </w:tcBorders>
            <w:vAlign w:val="center"/>
            <w:hideMark/>
          </w:tcPr>
          <w:p w14:paraId="1BB551CA"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106" w:type="dxa"/>
            <w:vMerge/>
            <w:tcBorders>
              <w:top w:val="nil"/>
              <w:left w:val="single" w:sz="4" w:space="0" w:color="auto"/>
              <w:bottom w:val="single" w:sz="4" w:space="0" w:color="auto"/>
              <w:right w:val="single" w:sz="4" w:space="0" w:color="auto"/>
            </w:tcBorders>
            <w:vAlign w:val="center"/>
            <w:hideMark/>
          </w:tcPr>
          <w:p w14:paraId="160F7C0A"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r>
      <w:tr w:rsidR="00DA0946" w:rsidRPr="00A240A3" w14:paraId="63B27CCF" w14:textId="77777777" w:rsidTr="009B2A0A">
        <w:trPr>
          <w:trHeight w:val="376"/>
        </w:trPr>
        <w:tc>
          <w:tcPr>
            <w:tcW w:w="778" w:type="dxa"/>
            <w:vMerge/>
            <w:tcBorders>
              <w:top w:val="nil"/>
              <w:left w:val="single" w:sz="4" w:space="0" w:color="auto"/>
              <w:bottom w:val="single" w:sz="4" w:space="0" w:color="auto"/>
              <w:right w:val="single" w:sz="4" w:space="0" w:color="auto"/>
            </w:tcBorders>
            <w:vAlign w:val="center"/>
            <w:hideMark/>
          </w:tcPr>
          <w:p w14:paraId="52AD623E"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769" w:type="dxa"/>
            <w:vMerge/>
            <w:tcBorders>
              <w:top w:val="nil"/>
              <w:left w:val="single" w:sz="4" w:space="0" w:color="auto"/>
              <w:bottom w:val="single" w:sz="4" w:space="0" w:color="auto"/>
              <w:right w:val="nil"/>
            </w:tcBorders>
            <w:vAlign w:val="center"/>
            <w:hideMark/>
          </w:tcPr>
          <w:p w14:paraId="609ED4FD"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7087" w:type="dxa"/>
            <w:tcBorders>
              <w:top w:val="nil"/>
              <w:left w:val="single" w:sz="4" w:space="0" w:color="auto"/>
              <w:bottom w:val="single" w:sz="4" w:space="0" w:color="auto"/>
              <w:right w:val="single" w:sz="4" w:space="0" w:color="auto"/>
            </w:tcBorders>
            <w:shd w:val="clear" w:color="auto" w:fill="auto"/>
            <w:vAlign w:val="center"/>
            <w:hideMark/>
          </w:tcPr>
          <w:p w14:paraId="485DE067" w14:textId="77777777" w:rsidR="00DA0946" w:rsidRPr="00A240A3" w:rsidRDefault="00DA0946" w:rsidP="004E2238">
            <w:pPr>
              <w:spacing w:after="0" w:line="240" w:lineRule="auto"/>
              <w:rPr>
                <w:rFonts w:ascii="Calibri" w:eastAsia="Times New Roman" w:hAnsi="Calibri" w:cs="Calibri"/>
                <w:color w:val="000000"/>
                <w:sz w:val="20"/>
                <w:szCs w:val="20"/>
                <w:u w:val="single"/>
                <w:lang w:val="en-US" w:eastAsia="el-GR"/>
              </w:rPr>
            </w:pPr>
            <w:r w:rsidRPr="00A240A3">
              <w:rPr>
                <w:rFonts w:ascii="Calibri" w:eastAsia="Times New Roman" w:hAnsi="Calibri" w:cs="Calibri"/>
                <w:color w:val="000000"/>
                <w:sz w:val="20"/>
                <w:szCs w:val="20"/>
                <w:u w:val="single"/>
                <w:lang w:val="en-US" w:eastAsia="el-GR"/>
              </w:rPr>
              <w:t xml:space="preserve">Fields of Table </w:t>
            </w:r>
            <w:r w:rsidRPr="00A240A3">
              <w:rPr>
                <w:rFonts w:ascii="Calibri" w:eastAsia="Times New Roman" w:hAnsi="Calibri" w:cs="Calibri"/>
                <w:color w:val="000000"/>
                <w:sz w:val="20"/>
                <w:szCs w:val="20"/>
                <w:u w:val="single"/>
                <w:lang w:eastAsia="el-GR"/>
              </w:rPr>
              <w:t>Α</w:t>
            </w:r>
            <w:r w:rsidRPr="00A240A3">
              <w:rPr>
                <w:rFonts w:ascii="Calibri" w:eastAsia="Times New Roman" w:hAnsi="Calibri" w:cs="Calibri"/>
                <w:color w:val="000000"/>
                <w:sz w:val="20"/>
                <w:szCs w:val="20"/>
                <w:u w:val="single"/>
                <w:lang w:val="en-US" w:eastAsia="el-GR"/>
              </w:rPr>
              <w:t>.1017/2020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 xml:space="preserve">-151*, </w:t>
            </w:r>
            <w:r w:rsidRPr="00A240A3">
              <w:rPr>
                <w:rFonts w:ascii="Calibri" w:eastAsia="Times New Roman" w:hAnsi="Calibri" w:cs="Calibri"/>
                <w:color w:val="000000"/>
                <w:sz w:val="20"/>
                <w:szCs w:val="20"/>
                <w:u w:val="single"/>
                <w:lang w:eastAsia="el-GR"/>
              </w:rPr>
              <w:t>ΒΤ</w:t>
            </w:r>
            <w:r w:rsidRPr="00A240A3">
              <w:rPr>
                <w:rFonts w:ascii="Calibri" w:eastAsia="Times New Roman" w:hAnsi="Calibri" w:cs="Calibri"/>
                <w:color w:val="000000"/>
                <w:sz w:val="20"/>
                <w:szCs w:val="20"/>
                <w:u w:val="single"/>
                <w:lang w:val="en-US" w:eastAsia="el-GR"/>
              </w:rPr>
              <w:t>-152*]</w:t>
            </w:r>
          </w:p>
        </w:tc>
        <w:tc>
          <w:tcPr>
            <w:tcW w:w="993" w:type="dxa"/>
            <w:tcBorders>
              <w:top w:val="nil"/>
              <w:left w:val="nil"/>
              <w:bottom w:val="single" w:sz="4" w:space="0" w:color="auto"/>
              <w:right w:val="single" w:sz="4" w:space="0" w:color="auto"/>
            </w:tcBorders>
            <w:shd w:val="clear" w:color="000000" w:fill="DDEBF7"/>
            <w:vAlign w:val="center"/>
            <w:hideMark/>
          </w:tcPr>
          <w:p w14:paraId="547697DF"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4AD38A6"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vMerge/>
            <w:tcBorders>
              <w:top w:val="nil"/>
              <w:left w:val="nil"/>
              <w:bottom w:val="single" w:sz="4" w:space="0" w:color="auto"/>
              <w:right w:val="single" w:sz="4" w:space="0" w:color="auto"/>
            </w:tcBorders>
            <w:vAlign w:val="center"/>
            <w:hideMark/>
          </w:tcPr>
          <w:p w14:paraId="6463350F"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913" w:type="dxa"/>
            <w:vMerge/>
            <w:tcBorders>
              <w:top w:val="nil"/>
              <w:left w:val="single" w:sz="4" w:space="0" w:color="auto"/>
              <w:bottom w:val="single" w:sz="4" w:space="0" w:color="auto"/>
              <w:right w:val="single" w:sz="4" w:space="0" w:color="auto"/>
            </w:tcBorders>
            <w:vAlign w:val="center"/>
            <w:hideMark/>
          </w:tcPr>
          <w:p w14:paraId="4CF76AD9"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c>
          <w:tcPr>
            <w:tcW w:w="1106" w:type="dxa"/>
            <w:vMerge/>
            <w:tcBorders>
              <w:top w:val="nil"/>
              <w:left w:val="single" w:sz="4" w:space="0" w:color="auto"/>
              <w:bottom w:val="single" w:sz="4" w:space="0" w:color="auto"/>
              <w:right w:val="single" w:sz="4" w:space="0" w:color="auto"/>
            </w:tcBorders>
            <w:vAlign w:val="center"/>
            <w:hideMark/>
          </w:tcPr>
          <w:p w14:paraId="4ACADDF9" w14:textId="77777777" w:rsidR="00DA0946" w:rsidRPr="00A240A3" w:rsidRDefault="00DA0946" w:rsidP="004E2238">
            <w:pPr>
              <w:spacing w:after="0" w:line="240" w:lineRule="auto"/>
              <w:rPr>
                <w:rFonts w:ascii="Calibri" w:eastAsia="Times New Roman" w:hAnsi="Calibri" w:cs="Calibri"/>
                <w:color w:val="000000"/>
                <w:sz w:val="20"/>
                <w:szCs w:val="20"/>
                <w:lang w:eastAsia="el-GR"/>
              </w:rPr>
            </w:pPr>
          </w:p>
        </w:tc>
      </w:tr>
      <w:tr w:rsidR="00DA0946" w:rsidRPr="00A240A3" w14:paraId="0148BFC6" w14:textId="77777777" w:rsidTr="009B2A0A">
        <w:trPr>
          <w:trHeight w:val="1393"/>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16B0BD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12</w:t>
            </w:r>
          </w:p>
        </w:tc>
        <w:tc>
          <w:tcPr>
            <w:tcW w:w="1769" w:type="dxa"/>
            <w:tcBorders>
              <w:top w:val="nil"/>
              <w:left w:val="nil"/>
              <w:bottom w:val="single" w:sz="4" w:space="0" w:color="auto"/>
              <w:right w:val="single" w:sz="4" w:space="0" w:color="auto"/>
            </w:tcBorders>
            <w:shd w:val="clear" w:color="auto" w:fill="auto"/>
            <w:noWrap/>
            <w:vAlign w:val="center"/>
            <w:hideMark/>
          </w:tcPr>
          <w:p w14:paraId="12B2B7AA"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single" w:sz="4" w:space="0" w:color="auto"/>
              <w:right w:val="single" w:sz="4" w:space="0" w:color="auto"/>
            </w:tcBorders>
            <w:shd w:val="clear" w:color="auto" w:fill="auto"/>
            <w:vAlign w:val="center"/>
            <w:hideMark/>
          </w:tcPr>
          <w:p w14:paraId="6D3CA5D5"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10. Other taxes (excluding VAT), duties, fees payable to the State or third parties, and stamp duties that increase the value of the electronic invoice and are calculated at the document level are entered in the field group BG-21 (DOCUMENT LEVEL CHARGES), while at the line-item level they are entered in the field group BG-28 (INVOICE LINE CHARGES).</w:t>
            </w:r>
          </w:p>
        </w:tc>
        <w:tc>
          <w:tcPr>
            <w:tcW w:w="993" w:type="dxa"/>
            <w:tcBorders>
              <w:top w:val="nil"/>
              <w:left w:val="nil"/>
              <w:bottom w:val="single" w:sz="4" w:space="0" w:color="auto"/>
              <w:right w:val="single" w:sz="4" w:space="0" w:color="auto"/>
            </w:tcBorders>
            <w:shd w:val="clear" w:color="000000" w:fill="DDEBF7"/>
            <w:vAlign w:val="center"/>
            <w:hideMark/>
          </w:tcPr>
          <w:p w14:paraId="4AB2DB9B"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A9FB3A2"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BBB1E06"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047BB3A9"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18A80807"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35DF926B" w14:textId="77777777" w:rsidTr="009B2A0A">
        <w:trPr>
          <w:trHeight w:val="1202"/>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EF1D07E"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13</w:t>
            </w:r>
          </w:p>
        </w:tc>
        <w:tc>
          <w:tcPr>
            <w:tcW w:w="1769" w:type="dxa"/>
            <w:tcBorders>
              <w:top w:val="nil"/>
              <w:left w:val="nil"/>
              <w:bottom w:val="single" w:sz="4" w:space="0" w:color="auto"/>
              <w:right w:val="single" w:sz="4" w:space="0" w:color="auto"/>
            </w:tcBorders>
            <w:shd w:val="clear" w:color="auto" w:fill="auto"/>
            <w:noWrap/>
            <w:vAlign w:val="center"/>
            <w:hideMark/>
          </w:tcPr>
          <w:p w14:paraId="7DD84923"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nil"/>
              <w:left w:val="nil"/>
              <w:bottom w:val="single" w:sz="4" w:space="0" w:color="auto"/>
              <w:right w:val="single" w:sz="4" w:space="0" w:color="auto"/>
            </w:tcBorders>
            <w:shd w:val="clear" w:color="auto" w:fill="auto"/>
            <w:vAlign w:val="center"/>
            <w:hideMark/>
          </w:tcPr>
          <w:p w14:paraId="6D7AC770"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11.Beyond the above fields, the National Format of the Electronic Invoice, as defined by this decision, includes the fields corresponding to the mandatory invoice elements, in accordance with the provisions of article 9 of law 4308/2014, which must be completed mandatorily.</w:t>
            </w:r>
          </w:p>
        </w:tc>
        <w:tc>
          <w:tcPr>
            <w:tcW w:w="993" w:type="dxa"/>
            <w:tcBorders>
              <w:top w:val="nil"/>
              <w:left w:val="nil"/>
              <w:bottom w:val="single" w:sz="4" w:space="0" w:color="auto"/>
              <w:right w:val="single" w:sz="4" w:space="0" w:color="auto"/>
            </w:tcBorders>
            <w:shd w:val="clear" w:color="000000" w:fill="DDEBF7"/>
            <w:vAlign w:val="center"/>
            <w:hideMark/>
          </w:tcPr>
          <w:p w14:paraId="1A41FA1E"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025100F"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8E6145F"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nil"/>
              <w:left w:val="nil"/>
              <w:bottom w:val="single" w:sz="4" w:space="0" w:color="auto"/>
              <w:right w:val="single" w:sz="4" w:space="0" w:color="auto"/>
            </w:tcBorders>
            <w:shd w:val="clear" w:color="auto" w:fill="auto"/>
            <w:noWrap/>
            <w:vAlign w:val="center"/>
            <w:hideMark/>
          </w:tcPr>
          <w:p w14:paraId="0DA86358"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nil"/>
              <w:left w:val="nil"/>
              <w:bottom w:val="single" w:sz="4" w:space="0" w:color="auto"/>
              <w:right w:val="single" w:sz="4" w:space="0" w:color="auto"/>
            </w:tcBorders>
            <w:shd w:val="clear" w:color="auto" w:fill="auto"/>
            <w:vAlign w:val="center"/>
            <w:hideMark/>
          </w:tcPr>
          <w:p w14:paraId="0FF7F0DA"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r w:rsidR="00DA0946" w:rsidRPr="00A240A3" w14:paraId="284F0E6F" w14:textId="77777777" w:rsidTr="009B2A0A">
        <w:trPr>
          <w:trHeight w:val="805"/>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0E7B0"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14</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14:paraId="06C53C75"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14:paraId="57AD0F19" w14:textId="77777777" w:rsidR="00DA0946" w:rsidRPr="00A240A3" w:rsidRDefault="00DA0946" w:rsidP="004E2238">
            <w:pPr>
              <w:spacing w:after="0" w:line="240" w:lineRule="auto"/>
              <w:rPr>
                <w:rFonts w:ascii="Calibri" w:eastAsia="Times New Roman" w:hAnsi="Calibri" w:cs="Calibri"/>
                <w:color w:val="000000"/>
                <w:sz w:val="20"/>
                <w:szCs w:val="20"/>
                <w:lang w:val="en-US" w:eastAsia="el-GR"/>
              </w:rPr>
            </w:pPr>
            <w:r w:rsidRPr="00A240A3">
              <w:rPr>
                <w:rFonts w:ascii="Calibri" w:eastAsia="Times New Roman" w:hAnsi="Calibri" w:cs="Calibri"/>
                <w:color w:val="000000"/>
                <w:sz w:val="20"/>
                <w:szCs w:val="20"/>
                <w:lang w:val="en-US" w:eastAsia="el-GR"/>
              </w:rPr>
              <w:t>12. Any information entered in the electronic invoice is required to comply with the European standard for electronic invoicing.</w:t>
            </w:r>
          </w:p>
        </w:tc>
        <w:tc>
          <w:tcPr>
            <w:tcW w:w="993" w:type="dxa"/>
            <w:tcBorders>
              <w:top w:val="single" w:sz="4" w:space="0" w:color="auto"/>
              <w:left w:val="nil"/>
              <w:bottom w:val="single" w:sz="4" w:space="0" w:color="auto"/>
              <w:right w:val="single" w:sz="4" w:space="0" w:color="auto"/>
            </w:tcBorders>
            <w:shd w:val="clear" w:color="000000" w:fill="DDEBF7"/>
            <w:vAlign w:val="center"/>
            <w:hideMark/>
          </w:tcPr>
          <w:p w14:paraId="25290D92"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32FA6B90" w14:textId="77777777" w:rsidR="00DA0946" w:rsidRPr="00A240A3" w:rsidRDefault="00DA0946" w:rsidP="004E2238">
            <w:pPr>
              <w:spacing w:after="0" w:line="240" w:lineRule="auto"/>
              <w:jc w:val="center"/>
              <w:rPr>
                <w:rFonts w:ascii="Calibri" w:eastAsia="Times New Roman" w:hAnsi="Calibri" w:cs="Calibri"/>
                <w:b/>
                <w:bCs/>
                <w:color w:val="000000"/>
                <w:sz w:val="28"/>
                <w:szCs w:val="28"/>
                <w:lang w:eastAsia="el-GR"/>
              </w:rPr>
            </w:pPr>
            <w:r w:rsidRPr="00A240A3">
              <w:rPr>
                <w:rFonts w:ascii="Calibri" w:eastAsia="Times New Roman" w:hAnsi="Calibri" w:cs="Calibri"/>
                <w:b/>
                <w:bCs/>
                <w:color w:val="000000"/>
                <w:sz w:val="28"/>
                <w:szCs w:val="28"/>
                <w:lang w:eastAsia="el-GR"/>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FD3EC4"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4D5DBBAB"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YES</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1FF5807D" w14:textId="77777777" w:rsidR="00DA0946" w:rsidRPr="00A240A3" w:rsidRDefault="00DA0946" w:rsidP="004E2238">
            <w:pPr>
              <w:spacing w:after="0" w:line="240" w:lineRule="auto"/>
              <w:jc w:val="center"/>
              <w:rPr>
                <w:rFonts w:ascii="Calibri" w:eastAsia="Times New Roman" w:hAnsi="Calibri" w:cs="Calibri"/>
                <w:color w:val="000000"/>
                <w:sz w:val="20"/>
                <w:szCs w:val="20"/>
                <w:lang w:eastAsia="el-GR"/>
              </w:rPr>
            </w:pPr>
            <w:r w:rsidRPr="00A240A3">
              <w:rPr>
                <w:rFonts w:ascii="Calibri" w:eastAsia="Times New Roman" w:hAnsi="Calibri" w:cs="Calibri"/>
                <w:color w:val="000000"/>
                <w:sz w:val="20"/>
                <w:szCs w:val="20"/>
                <w:lang w:eastAsia="el-GR"/>
              </w:rPr>
              <w:t> </w:t>
            </w:r>
          </w:p>
        </w:tc>
      </w:tr>
    </w:tbl>
    <w:p w14:paraId="77E11B10" w14:textId="77777777" w:rsidR="00B549BA" w:rsidRDefault="00B549BA" w:rsidP="00214C15">
      <w:pPr>
        <w:spacing w:line="240" w:lineRule="auto"/>
        <w:rPr>
          <w:rFonts w:ascii="Franklin Gothic Medium" w:hAnsi="Franklin Gothic Medium"/>
          <w:b/>
          <w:bCs/>
          <w:color w:val="1F497D" w:themeColor="text2"/>
          <w:sz w:val="18"/>
          <w:szCs w:val="18"/>
        </w:rPr>
      </w:pPr>
    </w:p>
    <w:p w14:paraId="2E65539F" w14:textId="77777777" w:rsidR="00751A5F" w:rsidRPr="00751A5F" w:rsidRDefault="00751A5F" w:rsidP="00214C15">
      <w:pPr>
        <w:spacing w:line="240" w:lineRule="auto"/>
        <w:rPr>
          <w:rFonts w:ascii="Franklin Gothic Medium" w:hAnsi="Franklin Gothic Medium"/>
          <w:b/>
          <w:bCs/>
          <w:color w:val="1F497D" w:themeColor="text2"/>
          <w:sz w:val="18"/>
          <w:szCs w:val="18"/>
          <w:lang w:val="en-US"/>
        </w:rPr>
      </w:pPr>
    </w:p>
    <w:p w14:paraId="11D820A3" w14:textId="4BAAF644" w:rsidR="00B549BA" w:rsidRPr="009649B8" w:rsidRDefault="009649B8" w:rsidP="00773B3B">
      <w:pPr>
        <w:spacing w:line="240" w:lineRule="auto"/>
        <w:jc w:val="center"/>
        <w:rPr>
          <w:rFonts w:ascii="Franklin Gothic Medium" w:hAnsi="Franklin Gothic Medium"/>
          <w:b/>
          <w:bCs/>
          <w:color w:val="1F497D" w:themeColor="text2"/>
          <w:sz w:val="32"/>
          <w:szCs w:val="28"/>
          <w:lang w:val="en-US"/>
        </w:rPr>
      </w:pPr>
      <w:r>
        <w:rPr>
          <w:rFonts w:ascii="Franklin Gothic Medium" w:hAnsi="Franklin Gothic Medium"/>
          <w:b/>
          <w:bCs/>
          <w:color w:val="1F497D" w:themeColor="text2"/>
          <w:sz w:val="32"/>
          <w:szCs w:val="28"/>
          <w:lang w:val="en-US"/>
        </w:rPr>
        <w:lastRenderedPageBreak/>
        <w:t>YPAHES</w:t>
      </w:r>
      <w:r w:rsidRPr="009649B8">
        <w:rPr>
          <w:rFonts w:ascii="Franklin Gothic Medium" w:hAnsi="Franklin Gothic Medium"/>
          <w:b/>
          <w:bCs/>
          <w:color w:val="1F497D" w:themeColor="text2"/>
          <w:sz w:val="32"/>
          <w:szCs w:val="28"/>
          <w:lang w:val="en-US"/>
        </w:rPr>
        <w:t xml:space="preserve"> Compliance and Documentation Table – Other Obligations</w:t>
      </w:r>
    </w:p>
    <w:tbl>
      <w:tblPr>
        <w:tblW w:w="15284" w:type="dxa"/>
        <w:tblLook w:val="04A0" w:firstRow="1" w:lastRow="0" w:firstColumn="1" w:lastColumn="0" w:noHBand="0" w:noVBand="1"/>
      </w:tblPr>
      <w:tblGrid>
        <w:gridCol w:w="740"/>
        <w:gridCol w:w="2090"/>
        <w:gridCol w:w="6804"/>
        <w:gridCol w:w="993"/>
        <w:gridCol w:w="1417"/>
        <w:gridCol w:w="1276"/>
        <w:gridCol w:w="992"/>
        <w:gridCol w:w="972"/>
      </w:tblGrid>
      <w:tr w:rsidR="00492284" w:rsidRPr="006C12C3" w14:paraId="7BBAC026" w14:textId="77777777" w:rsidTr="009B2A0A">
        <w:trPr>
          <w:trHeight w:val="300"/>
          <w:tblHeader/>
        </w:trPr>
        <w:tc>
          <w:tcPr>
            <w:tcW w:w="74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1E7CDA3"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S/N</w:t>
            </w:r>
          </w:p>
        </w:tc>
        <w:tc>
          <w:tcPr>
            <w:tcW w:w="2090" w:type="dxa"/>
            <w:tcBorders>
              <w:top w:val="single" w:sz="4" w:space="0" w:color="auto"/>
              <w:left w:val="nil"/>
              <w:bottom w:val="single" w:sz="4" w:space="0" w:color="auto"/>
              <w:right w:val="single" w:sz="4" w:space="0" w:color="auto"/>
            </w:tcBorders>
            <w:shd w:val="clear" w:color="000000" w:fill="D6DCE4"/>
            <w:noWrap/>
            <w:vAlign w:val="center"/>
            <w:hideMark/>
          </w:tcPr>
          <w:p w14:paraId="64C8E0CC"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OTHER OBLIGATIONS</w:t>
            </w:r>
          </w:p>
        </w:tc>
        <w:tc>
          <w:tcPr>
            <w:tcW w:w="6804" w:type="dxa"/>
            <w:tcBorders>
              <w:top w:val="single" w:sz="4" w:space="0" w:color="auto"/>
              <w:left w:val="nil"/>
              <w:bottom w:val="single" w:sz="4" w:space="0" w:color="auto"/>
              <w:right w:val="single" w:sz="4" w:space="0" w:color="auto"/>
            </w:tcBorders>
            <w:shd w:val="clear" w:color="000000" w:fill="D6DCE4"/>
            <w:noWrap/>
            <w:vAlign w:val="center"/>
            <w:hideMark/>
          </w:tcPr>
          <w:p w14:paraId="0964D23F"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val="en-US" w:eastAsia="el-GR"/>
              </w:rPr>
            </w:pPr>
            <w:r w:rsidRPr="006C12C3">
              <w:rPr>
                <w:rFonts w:ascii="Calibri" w:eastAsia="Times New Roman" w:hAnsi="Calibri" w:cs="Calibri"/>
                <w:b/>
                <w:bCs/>
                <w:color w:val="000000"/>
                <w:sz w:val="16"/>
                <w:szCs w:val="16"/>
                <w:lang w:val="en-US" w:eastAsia="el-GR"/>
              </w:rPr>
              <w:t>SPECIFICATION OF YPAHES/EDISP APPROVAL PROCEDURE</w:t>
            </w:r>
          </w:p>
        </w:tc>
        <w:tc>
          <w:tcPr>
            <w:tcW w:w="993" w:type="dxa"/>
            <w:tcBorders>
              <w:top w:val="single" w:sz="4" w:space="0" w:color="auto"/>
              <w:left w:val="nil"/>
              <w:bottom w:val="single" w:sz="4" w:space="0" w:color="auto"/>
              <w:right w:val="single" w:sz="4" w:space="0" w:color="auto"/>
            </w:tcBorders>
            <w:shd w:val="clear" w:color="000000" w:fill="D6DCE4"/>
            <w:noWrap/>
            <w:vAlign w:val="center"/>
            <w:hideMark/>
          </w:tcPr>
          <w:p w14:paraId="7BE27015"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PROVIDER</w:t>
            </w:r>
          </w:p>
        </w:tc>
        <w:tc>
          <w:tcPr>
            <w:tcW w:w="1417" w:type="dxa"/>
            <w:tcBorders>
              <w:top w:val="single" w:sz="4" w:space="0" w:color="auto"/>
              <w:left w:val="nil"/>
              <w:bottom w:val="single" w:sz="4" w:space="0" w:color="auto"/>
              <w:right w:val="single" w:sz="4" w:space="0" w:color="auto"/>
            </w:tcBorders>
            <w:shd w:val="clear" w:color="000000" w:fill="D6DCE4"/>
            <w:noWrap/>
            <w:vAlign w:val="center"/>
            <w:hideMark/>
          </w:tcPr>
          <w:p w14:paraId="38F2D47C"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SELF-PROVIDER</w:t>
            </w:r>
          </w:p>
        </w:tc>
        <w:tc>
          <w:tcPr>
            <w:tcW w:w="1276" w:type="dxa"/>
            <w:tcBorders>
              <w:top w:val="single" w:sz="4" w:space="0" w:color="auto"/>
              <w:left w:val="nil"/>
              <w:bottom w:val="single" w:sz="4" w:space="0" w:color="auto"/>
              <w:right w:val="single" w:sz="4" w:space="0" w:color="auto"/>
            </w:tcBorders>
            <w:shd w:val="clear" w:color="000000" w:fill="D6DCE4"/>
            <w:noWrap/>
            <w:vAlign w:val="center"/>
            <w:hideMark/>
          </w:tcPr>
          <w:p w14:paraId="56CE6074"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REQUIREMENT</w:t>
            </w:r>
          </w:p>
        </w:tc>
        <w:tc>
          <w:tcPr>
            <w:tcW w:w="992" w:type="dxa"/>
            <w:tcBorders>
              <w:top w:val="single" w:sz="4" w:space="0" w:color="auto"/>
              <w:left w:val="nil"/>
              <w:bottom w:val="single" w:sz="4" w:space="0" w:color="auto"/>
              <w:right w:val="single" w:sz="4" w:space="0" w:color="auto"/>
            </w:tcBorders>
            <w:shd w:val="clear" w:color="000000" w:fill="D6DCE4"/>
            <w:noWrap/>
            <w:vAlign w:val="center"/>
            <w:hideMark/>
          </w:tcPr>
          <w:p w14:paraId="46571FF3"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RESPONSE</w:t>
            </w:r>
          </w:p>
        </w:tc>
        <w:tc>
          <w:tcPr>
            <w:tcW w:w="972" w:type="dxa"/>
            <w:tcBorders>
              <w:top w:val="single" w:sz="4" w:space="0" w:color="auto"/>
              <w:left w:val="nil"/>
              <w:bottom w:val="single" w:sz="4" w:space="0" w:color="auto"/>
              <w:right w:val="single" w:sz="4" w:space="0" w:color="auto"/>
            </w:tcBorders>
            <w:shd w:val="clear" w:color="000000" w:fill="D6DCE4"/>
            <w:noWrap/>
            <w:vAlign w:val="center"/>
            <w:hideMark/>
          </w:tcPr>
          <w:p w14:paraId="17719701" w14:textId="77777777" w:rsidR="00492284" w:rsidRPr="006C12C3" w:rsidRDefault="00492284" w:rsidP="004E2238">
            <w:pPr>
              <w:spacing w:after="0" w:line="240" w:lineRule="auto"/>
              <w:jc w:val="center"/>
              <w:rPr>
                <w:rFonts w:ascii="Calibri" w:eastAsia="Times New Roman" w:hAnsi="Calibri" w:cs="Calibri"/>
                <w:b/>
                <w:bCs/>
                <w:color w:val="000000"/>
                <w:sz w:val="16"/>
                <w:szCs w:val="16"/>
                <w:lang w:eastAsia="el-GR"/>
              </w:rPr>
            </w:pPr>
            <w:r w:rsidRPr="006C12C3">
              <w:rPr>
                <w:rFonts w:ascii="Calibri" w:eastAsia="Times New Roman" w:hAnsi="Calibri" w:cs="Calibri"/>
                <w:b/>
                <w:bCs/>
                <w:color w:val="000000"/>
                <w:sz w:val="16"/>
                <w:szCs w:val="16"/>
                <w:lang w:eastAsia="el-GR"/>
              </w:rPr>
              <w:t>REFERENCE</w:t>
            </w:r>
          </w:p>
        </w:tc>
      </w:tr>
      <w:tr w:rsidR="00492284" w:rsidRPr="006C12C3" w14:paraId="2ADA925E" w14:textId="77777777" w:rsidTr="009B2A0A">
        <w:trPr>
          <w:trHeight w:val="199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66A7A40" w14:textId="77777777" w:rsidR="00492284" w:rsidRPr="006C12C3" w:rsidRDefault="00492284" w:rsidP="004E2238">
            <w:pPr>
              <w:spacing w:after="0" w:line="240" w:lineRule="auto"/>
              <w:jc w:val="center"/>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1</w:t>
            </w:r>
          </w:p>
        </w:tc>
        <w:tc>
          <w:tcPr>
            <w:tcW w:w="2090" w:type="dxa"/>
            <w:tcBorders>
              <w:top w:val="nil"/>
              <w:left w:val="nil"/>
              <w:bottom w:val="single" w:sz="4" w:space="0" w:color="auto"/>
              <w:right w:val="single" w:sz="4" w:space="0" w:color="auto"/>
            </w:tcBorders>
            <w:shd w:val="clear" w:color="auto" w:fill="auto"/>
            <w:vAlign w:val="center"/>
            <w:hideMark/>
          </w:tcPr>
          <w:p w14:paraId="7DE0BA3E"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Indication of the </w:t>
            </w:r>
            <w:proofErr w:type="spellStart"/>
            <w:r w:rsidRPr="006C12C3">
              <w:rPr>
                <w:rFonts w:ascii="Calibri" w:eastAsia="Times New Roman" w:hAnsi="Calibri" w:cs="Calibri"/>
                <w:sz w:val="20"/>
                <w:szCs w:val="20"/>
                <w:lang w:val="en-US" w:eastAsia="el-GR"/>
              </w:rPr>
              <w:t>url</w:t>
            </w:r>
            <w:proofErr w:type="spellEnd"/>
            <w:r w:rsidRPr="006C12C3">
              <w:rPr>
                <w:rFonts w:ascii="Calibri" w:eastAsia="Times New Roman" w:hAnsi="Calibri" w:cs="Calibri"/>
                <w:sz w:val="20"/>
                <w:szCs w:val="20"/>
                <w:lang w:val="en-US" w:eastAsia="el-GR"/>
              </w:rPr>
              <w:t xml:space="preserve"> of the Candidate Provider of Electronic Data Issuance Services (“Y.PA.H.E.S.” / E.D.I.S.P.)</w:t>
            </w:r>
          </w:p>
        </w:tc>
        <w:tc>
          <w:tcPr>
            <w:tcW w:w="6804" w:type="dxa"/>
            <w:tcBorders>
              <w:top w:val="nil"/>
              <w:left w:val="nil"/>
              <w:bottom w:val="single" w:sz="4" w:space="0" w:color="auto"/>
              <w:right w:val="single" w:sz="4" w:space="0" w:color="auto"/>
            </w:tcBorders>
            <w:shd w:val="clear" w:color="auto" w:fill="auto"/>
            <w:vAlign w:val="center"/>
            <w:hideMark/>
          </w:tcPr>
          <w:p w14:paraId="3155EA4A"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Indication of each URL of Candidate YPAHES/EDISP pending approval with explanation</w:t>
            </w:r>
          </w:p>
        </w:tc>
        <w:tc>
          <w:tcPr>
            <w:tcW w:w="993" w:type="dxa"/>
            <w:tcBorders>
              <w:top w:val="nil"/>
              <w:left w:val="nil"/>
              <w:bottom w:val="single" w:sz="4" w:space="0" w:color="auto"/>
              <w:right w:val="single" w:sz="4" w:space="0" w:color="auto"/>
            </w:tcBorders>
            <w:shd w:val="clear" w:color="000000" w:fill="DDEBF7"/>
            <w:vAlign w:val="center"/>
            <w:hideMark/>
          </w:tcPr>
          <w:p w14:paraId="4809E5D6"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EC30B20"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B8E8FEF"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07349E57"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noWrap/>
            <w:vAlign w:val="center"/>
            <w:hideMark/>
          </w:tcPr>
          <w:p w14:paraId="08AB3345" w14:textId="77777777" w:rsidR="00492284" w:rsidRPr="006C12C3" w:rsidRDefault="00492284" w:rsidP="004E2238">
            <w:pPr>
              <w:spacing w:after="0" w:line="240" w:lineRule="auto"/>
              <w:rPr>
                <w:rFonts w:ascii="Calibri" w:eastAsia="Times New Roman" w:hAnsi="Calibri" w:cs="Calibri"/>
                <w:b/>
                <w:bCs/>
                <w:color w:val="000000"/>
                <w:sz w:val="20"/>
                <w:szCs w:val="20"/>
                <w:lang w:eastAsia="el-GR"/>
              </w:rPr>
            </w:pPr>
            <w:r w:rsidRPr="006C12C3">
              <w:rPr>
                <w:rFonts w:ascii="Calibri" w:eastAsia="Times New Roman" w:hAnsi="Calibri" w:cs="Calibri"/>
                <w:b/>
                <w:bCs/>
                <w:color w:val="000000"/>
                <w:sz w:val="20"/>
                <w:szCs w:val="20"/>
                <w:lang w:eastAsia="el-GR"/>
              </w:rPr>
              <w:t>*</w:t>
            </w:r>
          </w:p>
        </w:tc>
      </w:tr>
      <w:tr w:rsidR="00492284" w:rsidRPr="006C12C3" w14:paraId="47ECB6C7" w14:textId="77777777" w:rsidTr="009B2A0A">
        <w:trPr>
          <w:trHeight w:val="20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E2DF1BF" w14:textId="77777777" w:rsidR="00492284" w:rsidRPr="006C12C3" w:rsidRDefault="00492284" w:rsidP="004E2238">
            <w:pPr>
              <w:spacing w:after="0" w:line="240" w:lineRule="auto"/>
              <w:jc w:val="center"/>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2</w:t>
            </w:r>
          </w:p>
        </w:tc>
        <w:tc>
          <w:tcPr>
            <w:tcW w:w="2090" w:type="dxa"/>
            <w:tcBorders>
              <w:top w:val="nil"/>
              <w:left w:val="nil"/>
              <w:bottom w:val="single" w:sz="4" w:space="0" w:color="auto"/>
              <w:right w:val="single" w:sz="4" w:space="0" w:color="auto"/>
            </w:tcBorders>
            <w:shd w:val="clear" w:color="auto" w:fill="auto"/>
            <w:vAlign w:val="center"/>
            <w:hideMark/>
          </w:tcPr>
          <w:p w14:paraId="639FFECE"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REST API Interface of IAPR's </w:t>
            </w:r>
            <w:proofErr w:type="spellStart"/>
            <w:r w:rsidRPr="006C12C3">
              <w:rPr>
                <w:rFonts w:ascii="Calibri" w:eastAsia="Times New Roman" w:hAnsi="Calibri" w:cs="Calibri"/>
                <w:sz w:val="20"/>
                <w:szCs w:val="20"/>
                <w:lang w:val="en-US" w:eastAsia="el-GR"/>
              </w:rPr>
              <w:t>myDATA</w:t>
            </w:r>
            <w:proofErr w:type="spellEnd"/>
            <w:r w:rsidRPr="006C12C3">
              <w:rPr>
                <w:rFonts w:ascii="Calibri" w:eastAsia="Times New Roman" w:hAnsi="Calibri" w:cs="Calibri"/>
                <w:sz w:val="20"/>
                <w:szCs w:val="20"/>
                <w:lang w:val="en-US" w:eastAsia="el-GR"/>
              </w:rPr>
              <w:t xml:space="preserve"> Digital Platform &amp; pending approval YPAHES-EDISP Software</w:t>
            </w:r>
          </w:p>
        </w:tc>
        <w:tc>
          <w:tcPr>
            <w:tcW w:w="6804" w:type="dxa"/>
            <w:tcBorders>
              <w:top w:val="nil"/>
              <w:left w:val="nil"/>
              <w:bottom w:val="single" w:sz="4" w:space="0" w:color="auto"/>
              <w:right w:val="single" w:sz="4" w:space="0" w:color="auto"/>
            </w:tcBorders>
            <w:shd w:val="clear" w:color="auto" w:fill="auto"/>
            <w:vAlign w:val="center"/>
            <w:hideMark/>
          </w:tcPr>
          <w:p w14:paraId="0BFF1D8D"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Transmission to the IAPR REST API of all Document Types in categories A1 &amp; A2 from 1.1 to 11.5 (see https://www.aade.gr/mydata/tehnikes-prodiagrafes-ekdoseis-mydata Detailed Operations Description 3. Document Data Standardization Table 1) in accordance with the specifications of the </w:t>
            </w:r>
            <w:proofErr w:type="spellStart"/>
            <w:r w:rsidRPr="006C12C3">
              <w:rPr>
                <w:rFonts w:ascii="Calibri" w:eastAsia="Times New Roman" w:hAnsi="Calibri" w:cs="Calibri"/>
                <w:sz w:val="20"/>
                <w:szCs w:val="20"/>
                <w:lang w:val="en-US" w:eastAsia="el-GR"/>
              </w:rPr>
              <w:t>myDATA</w:t>
            </w:r>
            <w:proofErr w:type="spellEnd"/>
            <w:r w:rsidRPr="006C12C3">
              <w:rPr>
                <w:rFonts w:ascii="Calibri" w:eastAsia="Times New Roman" w:hAnsi="Calibri" w:cs="Calibri"/>
                <w:sz w:val="20"/>
                <w:szCs w:val="20"/>
                <w:lang w:val="en-US" w:eastAsia="el-GR"/>
              </w:rPr>
              <w:t xml:space="preserve"> digital platform (see https://www.aade.gr/mydata/tehnikes-prodiagrafes-ekdoseis-mydata Operational &amp; Technical Specifications) in combination with the requirements of the YPAHES-EDISP Compliance &amp; Documentation Tables A.1112/2025 &amp; A.1017/2020.  </w:t>
            </w:r>
          </w:p>
        </w:tc>
        <w:tc>
          <w:tcPr>
            <w:tcW w:w="993" w:type="dxa"/>
            <w:tcBorders>
              <w:top w:val="nil"/>
              <w:left w:val="nil"/>
              <w:bottom w:val="single" w:sz="4" w:space="0" w:color="auto"/>
              <w:right w:val="single" w:sz="4" w:space="0" w:color="auto"/>
            </w:tcBorders>
            <w:shd w:val="clear" w:color="000000" w:fill="DDEBF7"/>
            <w:vAlign w:val="center"/>
            <w:hideMark/>
          </w:tcPr>
          <w:p w14:paraId="551D4F3C"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075A6A8"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val="en-US" w:eastAsia="el-GR"/>
              </w:rPr>
            </w:pPr>
            <w:r w:rsidRPr="006C12C3">
              <w:rPr>
                <w:rFonts w:ascii="Calibri" w:eastAsia="Times New Roman" w:hAnsi="Calibri" w:cs="Calibri"/>
                <w:b/>
                <w:bCs/>
                <w:color w:val="000000"/>
                <w:sz w:val="28"/>
                <w:szCs w:val="28"/>
                <w:lang w:val="en-US" w:eastAsia="el-GR"/>
              </w:rPr>
              <w:t>√</w:t>
            </w:r>
            <w:r w:rsidRPr="006C12C3">
              <w:rPr>
                <w:rFonts w:ascii="Calibri" w:eastAsia="Times New Roman" w:hAnsi="Calibri" w:cs="Calibri"/>
                <w:b/>
                <w:bCs/>
                <w:color w:val="000000"/>
                <w:sz w:val="28"/>
                <w:szCs w:val="28"/>
                <w:lang w:val="en-US" w:eastAsia="el-GR"/>
              </w:rPr>
              <w:br/>
            </w:r>
            <w:r w:rsidRPr="006C12C3">
              <w:rPr>
                <w:rFonts w:ascii="Calibri" w:eastAsia="Times New Roman" w:hAnsi="Calibri" w:cs="Calibri"/>
                <w:b/>
                <w:bCs/>
                <w:color w:val="000000"/>
                <w:lang w:val="en-US" w:eastAsia="el-GR"/>
              </w:rPr>
              <w:t>(types of documents based on their application)</w:t>
            </w:r>
          </w:p>
        </w:tc>
        <w:tc>
          <w:tcPr>
            <w:tcW w:w="1276" w:type="dxa"/>
            <w:tcBorders>
              <w:top w:val="nil"/>
              <w:left w:val="nil"/>
              <w:bottom w:val="single" w:sz="4" w:space="0" w:color="auto"/>
              <w:right w:val="single" w:sz="4" w:space="0" w:color="auto"/>
            </w:tcBorders>
            <w:shd w:val="clear" w:color="auto" w:fill="auto"/>
            <w:noWrap/>
            <w:vAlign w:val="center"/>
            <w:hideMark/>
          </w:tcPr>
          <w:p w14:paraId="1C877085"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12F470F7"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vAlign w:val="center"/>
            <w:hideMark/>
          </w:tcPr>
          <w:p w14:paraId="469E749E" w14:textId="77777777" w:rsidR="00492284" w:rsidRPr="006C12C3" w:rsidRDefault="00492284" w:rsidP="004E2238">
            <w:pPr>
              <w:spacing w:after="0" w:line="240" w:lineRule="auto"/>
              <w:rPr>
                <w:rFonts w:ascii="Calibri" w:eastAsia="Times New Roman" w:hAnsi="Calibri" w:cs="Calibri"/>
                <w:b/>
                <w:bCs/>
                <w:color w:val="000000"/>
                <w:sz w:val="20"/>
                <w:szCs w:val="20"/>
                <w:lang w:eastAsia="el-GR"/>
              </w:rPr>
            </w:pPr>
            <w:r w:rsidRPr="006C12C3">
              <w:rPr>
                <w:rFonts w:ascii="Calibri" w:eastAsia="Times New Roman" w:hAnsi="Calibri" w:cs="Calibri"/>
                <w:b/>
                <w:bCs/>
                <w:color w:val="000000"/>
                <w:sz w:val="20"/>
                <w:szCs w:val="20"/>
                <w:lang w:eastAsia="el-GR"/>
              </w:rPr>
              <w:t>**</w:t>
            </w:r>
          </w:p>
        </w:tc>
      </w:tr>
      <w:tr w:rsidR="00492284" w:rsidRPr="006C12C3" w14:paraId="42F22AAD" w14:textId="77777777" w:rsidTr="009B2A0A">
        <w:trPr>
          <w:trHeight w:val="199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F2CC0EA" w14:textId="77777777" w:rsidR="00492284" w:rsidRPr="006C12C3" w:rsidRDefault="00492284" w:rsidP="004E2238">
            <w:pPr>
              <w:spacing w:after="0" w:line="240" w:lineRule="auto"/>
              <w:jc w:val="center"/>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3</w:t>
            </w:r>
          </w:p>
        </w:tc>
        <w:tc>
          <w:tcPr>
            <w:tcW w:w="2090" w:type="dxa"/>
            <w:tcBorders>
              <w:top w:val="nil"/>
              <w:left w:val="nil"/>
              <w:bottom w:val="single" w:sz="4" w:space="0" w:color="auto"/>
              <w:right w:val="single" w:sz="4" w:space="0" w:color="auto"/>
            </w:tcBorders>
            <w:shd w:val="clear" w:color="auto" w:fill="auto"/>
            <w:vAlign w:val="center"/>
            <w:hideMark/>
          </w:tcPr>
          <w:p w14:paraId="52F1BBEE"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Committee Access to the </w:t>
            </w:r>
            <w:r w:rsidRPr="006C12C3">
              <w:rPr>
                <w:rFonts w:ascii="Calibri" w:eastAsia="Times New Roman" w:hAnsi="Calibri" w:cs="Calibri"/>
                <w:sz w:val="20"/>
                <w:szCs w:val="20"/>
                <w:lang w:eastAsia="el-GR"/>
              </w:rPr>
              <w:t>ΥΠΑΗΕΣ</w:t>
            </w:r>
            <w:r w:rsidRPr="006C12C3">
              <w:rPr>
                <w:rFonts w:ascii="Calibri" w:eastAsia="Times New Roman" w:hAnsi="Calibri" w:cs="Calibri"/>
                <w:sz w:val="20"/>
                <w:szCs w:val="20"/>
                <w:lang w:val="en-US" w:eastAsia="el-GR"/>
              </w:rPr>
              <w:t>/EDISP Software Pending Approval</w:t>
            </w:r>
          </w:p>
        </w:tc>
        <w:tc>
          <w:tcPr>
            <w:tcW w:w="6804" w:type="dxa"/>
            <w:tcBorders>
              <w:top w:val="nil"/>
              <w:left w:val="nil"/>
              <w:bottom w:val="single" w:sz="4" w:space="0" w:color="auto"/>
              <w:right w:val="single" w:sz="4" w:space="0" w:color="auto"/>
            </w:tcBorders>
            <w:shd w:val="clear" w:color="auto" w:fill="auto"/>
            <w:vAlign w:val="center"/>
            <w:hideMark/>
          </w:tcPr>
          <w:p w14:paraId="1EC37B05"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Confirmation of obligations – requirements of the YPAHES/EDISP </w:t>
            </w:r>
            <w:proofErr w:type="spellStart"/>
            <w:r w:rsidRPr="006C12C3">
              <w:rPr>
                <w:rFonts w:ascii="Calibri" w:eastAsia="Times New Roman" w:hAnsi="Calibri" w:cs="Calibri"/>
                <w:sz w:val="20"/>
                <w:szCs w:val="20"/>
                <w:lang w:val="en-US" w:eastAsia="el-GR"/>
              </w:rPr>
              <w:t>Compliance_Documentation</w:t>
            </w:r>
            <w:proofErr w:type="spellEnd"/>
            <w:r w:rsidRPr="006C12C3">
              <w:rPr>
                <w:rFonts w:ascii="Calibri" w:eastAsia="Times New Roman" w:hAnsi="Calibri" w:cs="Calibri"/>
                <w:sz w:val="20"/>
                <w:szCs w:val="20"/>
                <w:lang w:val="en-US" w:eastAsia="el-GR"/>
              </w:rPr>
              <w:t xml:space="preserve"> Tables A.1112/2025 &amp; A.1017/2020 in the YPAHES/EDISP software pending approval.</w:t>
            </w:r>
          </w:p>
        </w:tc>
        <w:tc>
          <w:tcPr>
            <w:tcW w:w="993" w:type="dxa"/>
            <w:tcBorders>
              <w:top w:val="nil"/>
              <w:left w:val="nil"/>
              <w:bottom w:val="single" w:sz="4" w:space="0" w:color="auto"/>
              <w:right w:val="single" w:sz="4" w:space="0" w:color="auto"/>
            </w:tcBorders>
            <w:shd w:val="clear" w:color="000000" w:fill="DDEBF7"/>
            <w:vAlign w:val="center"/>
            <w:hideMark/>
          </w:tcPr>
          <w:p w14:paraId="4C533553"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F318812"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A3DE8FE"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54201291"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vAlign w:val="center"/>
            <w:hideMark/>
          </w:tcPr>
          <w:p w14:paraId="6D752AA7" w14:textId="77777777" w:rsidR="00492284" w:rsidRPr="006C12C3" w:rsidRDefault="00492284" w:rsidP="004E2238">
            <w:pPr>
              <w:spacing w:after="0" w:line="240" w:lineRule="auto"/>
              <w:jc w:val="center"/>
              <w:rPr>
                <w:rFonts w:ascii="Calibri" w:eastAsia="Times New Roman" w:hAnsi="Calibri" w:cs="Calibri"/>
                <w:b/>
                <w:bCs/>
                <w:color w:val="000000"/>
                <w:sz w:val="20"/>
                <w:szCs w:val="20"/>
                <w:lang w:eastAsia="el-GR"/>
              </w:rPr>
            </w:pPr>
            <w:r w:rsidRPr="006C12C3">
              <w:rPr>
                <w:rFonts w:ascii="Calibri" w:eastAsia="Times New Roman" w:hAnsi="Calibri" w:cs="Calibri"/>
                <w:b/>
                <w:bCs/>
                <w:color w:val="000000"/>
                <w:sz w:val="20"/>
                <w:szCs w:val="20"/>
                <w:lang w:eastAsia="el-GR"/>
              </w:rPr>
              <w:t> </w:t>
            </w:r>
          </w:p>
        </w:tc>
      </w:tr>
      <w:tr w:rsidR="00492284" w:rsidRPr="006C12C3" w14:paraId="130F41C2" w14:textId="77777777" w:rsidTr="009B2A0A">
        <w:trPr>
          <w:trHeight w:val="319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BF8CD" w14:textId="77777777" w:rsidR="00492284" w:rsidRPr="006C12C3" w:rsidRDefault="00492284" w:rsidP="004E2238">
            <w:pPr>
              <w:spacing w:after="0" w:line="240" w:lineRule="auto"/>
              <w:jc w:val="center"/>
              <w:rPr>
                <w:rFonts w:ascii="Calibri" w:eastAsia="Times New Roman" w:hAnsi="Calibri" w:cs="Calibri"/>
                <w:sz w:val="20"/>
                <w:szCs w:val="20"/>
                <w:lang w:eastAsia="el-GR"/>
              </w:rPr>
            </w:pPr>
            <w:r w:rsidRPr="006C12C3">
              <w:rPr>
                <w:rFonts w:ascii="Calibri" w:eastAsia="Times New Roman" w:hAnsi="Calibri" w:cs="Calibri"/>
                <w:sz w:val="20"/>
                <w:szCs w:val="20"/>
                <w:lang w:eastAsia="el-GR"/>
              </w:rPr>
              <w:lastRenderedPageBreak/>
              <w:t>4</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6664B506"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Article 4</w:t>
            </w:r>
            <w:r w:rsidRPr="006C12C3">
              <w:rPr>
                <w:rFonts w:ascii="Calibri" w:eastAsia="Times New Roman" w:hAnsi="Calibri" w:cs="Calibri"/>
                <w:sz w:val="20"/>
                <w:szCs w:val="20"/>
                <w:lang w:val="en-US" w:eastAsia="el-GR"/>
              </w:rPr>
              <w:br/>
              <w:t>Process for granting a "Suitability license" for the software of Electronic Data Issuance</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0819E3E"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4.5 The "YPAHES/EDISP" suitability license is valid for five (5) years and may be renewed without limitation as to the number of renewals by decision of the Committee, after examining the supporting documents in accordance with Annex A2, submitted upon request of the Provider or the Self-Provider at the end of each five-year period. The Provider may at any time request the Committee to terminate the validity of the “YPAHES/EDISP” suitability license it holds. The first and second paragraphs also apply to suitability licenses granted under decision A.1035/2020 of the Deputy Minister of Finance.</w:t>
            </w:r>
          </w:p>
        </w:tc>
        <w:tc>
          <w:tcPr>
            <w:tcW w:w="993" w:type="dxa"/>
            <w:tcBorders>
              <w:top w:val="single" w:sz="4" w:space="0" w:color="auto"/>
              <w:left w:val="nil"/>
              <w:bottom w:val="single" w:sz="4" w:space="0" w:color="auto"/>
              <w:right w:val="single" w:sz="4" w:space="0" w:color="auto"/>
            </w:tcBorders>
            <w:shd w:val="clear" w:color="000000" w:fill="DDEBF7"/>
            <w:vAlign w:val="center"/>
            <w:hideMark/>
          </w:tcPr>
          <w:p w14:paraId="47A07C0D"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72C3DC28"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E1D7C6"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1FC0D7"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35BFE2" w14:textId="77777777" w:rsidR="00492284" w:rsidRPr="006C12C3" w:rsidRDefault="00492284" w:rsidP="004E2238">
            <w:pPr>
              <w:spacing w:after="0" w:line="240" w:lineRule="auto"/>
              <w:jc w:val="center"/>
              <w:rPr>
                <w:rFonts w:ascii="Calibri" w:eastAsia="Times New Roman" w:hAnsi="Calibri" w:cs="Calibri"/>
                <w:b/>
                <w:bCs/>
                <w:color w:val="000000"/>
                <w:sz w:val="20"/>
                <w:szCs w:val="20"/>
                <w:lang w:eastAsia="el-GR"/>
              </w:rPr>
            </w:pPr>
            <w:r w:rsidRPr="006C12C3">
              <w:rPr>
                <w:rFonts w:ascii="Calibri" w:eastAsia="Times New Roman" w:hAnsi="Calibri" w:cs="Calibri"/>
                <w:b/>
                <w:bCs/>
                <w:color w:val="000000"/>
                <w:sz w:val="20"/>
                <w:szCs w:val="20"/>
                <w:lang w:eastAsia="el-GR"/>
              </w:rPr>
              <w:t> </w:t>
            </w:r>
          </w:p>
        </w:tc>
      </w:tr>
      <w:tr w:rsidR="00492284" w:rsidRPr="006C12C3" w14:paraId="21B5386B" w14:textId="77777777" w:rsidTr="009B2A0A">
        <w:trPr>
          <w:trHeight w:val="280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A5E4E" w14:textId="77777777" w:rsidR="00492284" w:rsidRPr="006C12C3" w:rsidRDefault="00492284" w:rsidP="004E2238">
            <w:pPr>
              <w:spacing w:after="0" w:line="240" w:lineRule="auto"/>
              <w:jc w:val="center"/>
              <w:rPr>
                <w:rFonts w:ascii="Calibri" w:eastAsia="Times New Roman" w:hAnsi="Calibri" w:cs="Calibri"/>
                <w:lang w:eastAsia="el-GR"/>
              </w:rPr>
            </w:pPr>
            <w:r w:rsidRPr="006C12C3">
              <w:rPr>
                <w:rFonts w:ascii="Calibri" w:eastAsia="Times New Roman" w:hAnsi="Calibri" w:cs="Calibri"/>
                <w:lang w:eastAsia="el-GR"/>
              </w:rPr>
              <w:t>5</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64E0C454"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 xml:space="preserve">Article 10 </w:t>
            </w:r>
            <w:r w:rsidRPr="006C12C3">
              <w:rPr>
                <w:rFonts w:ascii="Calibri" w:eastAsia="Times New Roman" w:hAnsi="Calibri" w:cs="Calibri"/>
                <w:sz w:val="20"/>
                <w:szCs w:val="20"/>
                <w:lang w:val="en-US" w:eastAsia="el-GR"/>
              </w:rPr>
              <w:br/>
              <w:t>Conditions for revocation of the YPAHES/EDISP suitability license</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DD8BD3C"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10.1) The YPAHES/EDISP suitability license shall be revoked in the event of:</w:t>
            </w:r>
            <w:r w:rsidRPr="006C12C3">
              <w:rPr>
                <w:rFonts w:ascii="Calibri" w:eastAsia="Times New Roman" w:hAnsi="Calibri" w:cs="Calibri"/>
                <w:sz w:val="20"/>
                <w:szCs w:val="20"/>
                <w:lang w:val="en-US" w:eastAsia="el-GR"/>
              </w:rPr>
              <w:br/>
              <w:t>1) Non-compliance with the conditions for granting the suitability license.</w:t>
            </w:r>
            <w:r w:rsidRPr="006C12C3">
              <w:rPr>
                <w:rFonts w:ascii="Calibri" w:eastAsia="Times New Roman" w:hAnsi="Calibri" w:cs="Calibri"/>
                <w:sz w:val="20"/>
                <w:szCs w:val="20"/>
                <w:lang w:val="en-US" w:eastAsia="el-GR"/>
              </w:rPr>
              <w:br/>
              <w:t>2) Committing violations of falsification, infringement or interference in the operation of the YPAHES/EDISP by application software that reshapes the content of the documents with the fault or complicity or knowledge of the Provider or the Self-Provider.</w:t>
            </w:r>
            <w:r w:rsidRPr="006C12C3">
              <w:rPr>
                <w:rFonts w:ascii="Calibri" w:eastAsia="Times New Roman" w:hAnsi="Calibri" w:cs="Calibri"/>
                <w:sz w:val="20"/>
                <w:szCs w:val="20"/>
                <w:lang w:val="en-US" w:eastAsia="el-GR"/>
              </w:rPr>
              <w:br/>
              <w:t>3) Failure to comply with data security rules or the confidentiality of data and information obtained within the framework of the contractual relationship with the contracting entities.</w:t>
            </w:r>
            <w:r w:rsidRPr="006C12C3">
              <w:rPr>
                <w:rFonts w:ascii="Calibri" w:eastAsia="Times New Roman" w:hAnsi="Calibri" w:cs="Calibri"/>
                <w:sz w:val="20"/>
                <w:szCs w:val="20"/>
                <w:lang w:val="en-US" w:eastAsia="el-GR"/>
              </w:rPr>
              <w:br/>
              <w:t>4) Accumulation of one hundred (100) penalty points according to the Table of Violations of article 11.</w:t>
            </w:r>
          </w:p>
        </w:tc>
        <w:tc>
          <w:tcPr>
            <w:tcW w:w="993" w:type="dxa"/>
            <w:tcBorders>
              <w:top w:val="single" w:sz="4" w:space="0" w:color="auto"/>
              <w:left w:val="nil"/>
              <w:bottom w:val="single" w:sz="4" w:space="0" w:color="auto"/>
              <w:right w:val="single" w:sz="4" w:space="0" w:color="auto"/>
            </w:tcBorders>
            <w:shd w:val="clear" w:color="000000" w:fill="DDEBF7"/>
            <w:vAlign w:val="center"/>
            <w:hideMark/>
          </w:tcPr>
          <w:p w14:paraId="1EE05DCC"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207B1B07"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C88CB3"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A6880"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4D17B630" w14:textId="77777777" w:rsidR="00492284" w:rsidRPr="006C12C3" w:rsidRDefault="00492284" w:rsidP="004E2238">
            <w:pPr>
              <w:spacing w:after="0" w:line="240" w:lineRule="auto"/>
              <w:rPr>
                <w:rFonts w:ascii="Calibri" w:eastAsia="Times New Roman" w:hAnsi="Calibri" w:cs="Calibri"/>
                <w:color w:val="000000"/>
                <w:lang w:eastAsia="el-GR"/>
              </w:rPr>
            </w:pPr>
            <w:r w:rsidRPr="006C12C3">
              <w:rPr>
                <w:rFonts w:ascii="Calibri" w:eastAsia="Times New Roman" w:hAnsi="Calibri" w:cs="Calibri"/>
                <w:color w:val="000000"/>
                <w:lang w:eastAsia="el-GR"/>
              </w:rPr>
              <w:t> </w:t>
            </w:r>
          </w:p>
        </w:tc>
      </w:tr>
      <w:tr w:rsidR="00492284" w:rsidRPr="006C12C3" w14:paraId="4139904F" w14:textId="77777777" w:rsidTr="009B2A0A">
        <w:trPr>
          <w:trHeight w:val="226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0421758" w14:textId="77777777" w:rsidR="00492284" w:rsidRPr="006C12C3" w:rsidRDefault="00492284" w:rsidP="004E2238">
            <w:pPr>
              <w:spacing w:after="0" w:line="240" w:lineRule="auto"/>
              <w:jc w:val="center"/>
              <w:rPr>
                <w:rFonts w:ascii="Calibri" w:eastAsia="Times New Roman" w:hAnsi="Calibri" w:cs="Calibri"/>
                <w:lang w:eastAsia="el-GR"/>
              </w:rPr>
            </w:pPr>
            <w:r w:rsidRPr="006C12C3">
              <w:rPr>
                <w:rFonts w:ascii="Calibri" w:eastAsia="Times New Roman" w:hAnsi="Calibri" w:cs="Calibri"/>
                <w:lang w:eastAsia="el-GR"/>
              </w:rPr>
              <w:t>6_1</w:t>
            </w:r>
          </w:p>
        </w:tc>
        <w:tc>
          <w:tcPr>
            <w:tcW w:w="2090" w:type="dxa"/>
            <w:tcBorders>
              <w:top w:val="nil"/>
              <w:left w:val="nil"/>
              <w:bottom w:val="single" w:sz="4" w:space="0" w:color="auto"/>
              <w:right w:val="single" w:sz="4" w:space="0" w:color="auto"/>
            </w:tcBorders>
            <w:shd w:val="clear" w:color="auto" w:fill="auto"/>
            <w:vAlign w:val="center"/>
            <w:hideMark/>
          </w:tcPr>
          <w:p w14:paraId="428666D5" w14:textId="77777777" w:rsidR="00492284" w:rsidRPr="006C12C3" w:rsidRDefault="00492284" w:rsidP="004E2238">
            <w:pPr>
              <w:spacing w:after="0" w:line="240" w:lineRule="auto"/>
              <w:jc w:val="center"/>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Article 12</w:t>
            </w:r>
            <w:r w:rsidRPr="006C12C3">
              <w:rPr>
                <w:rFonts w:ascii="Calibri" w:eastAsia="Times New Roman" w:hAnsi="Calibri" w:cs="Calibri"/>
                <w:sz w:val="20"/>
                <w:szCs w:val="20"/>
                <w:lang w:val="en-US" w:eastAsia="el-GR"/>
              </w:rPr>
              <w:br/>
              <w:t>Procedure and consequences of revocation of the suitability license of the YPAHES/EDISP</w:t>
            </w:r>
          </w:p>
        </w:tc>
        <w:tc>
          <w:tcPr>
            <w:tcW w:w="6804" w:type="dxa"/>
            <w:tcBorders>
              <w:top w:val="nil"/>
              <w:left w:val="nil"/>
              <w:bottom w:val="single" w:sz="4" w:space="0" w:color="auto"/>
              <w:right w:val="single" w:sz="4" w:space="0" w:color="auto"/>
            </w:tcBorders>
            <w:shd w:val="clear" w:color="auto" w:fill="auto"/>
            <w:vAlign w:val="center"/>
            <w:hideMark/>
          </w:tcPr>
          <w:p w14:paraId="3923C761"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1. In the event of indications or suspicions that the conditions for revoking the suitability license of paragraphs a), b) and c) of article 10 are met, in combination or individually, the Committee of article 2 is convened by its Chairman, in order to examine the existing indications. In the event that it is deemed that the conditions are indeed met, a decision to revoke the suitability license is issued.</w:t>
            </w:r>
          </w:p>
        </w:tc>
        <w:tc>
          <w:tcPr>
            <w:tcW w:w="993" w:type="dxa"/>
            <w:tcBorders>
              <w:top w:val="nil"/>
              <w:left w:val="nil"/>
              <w:bottom w:val="single" w:sz="4" w:space="0" w:color="auto"/>
              <w:right w:val="single" w:sz="4" w:space="0" w:color="auto"/>
            </w:tcBorders>
            <w:shd w:val="clear" w:color="000000" w:fill="DDEBF7"/>
            <w:vAlign w:val="center"/>
            <w:hideMark/>
          </w:tcPr>
          <w:p w14:paraId="2CA4B173"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538611E"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EF29BA9"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5C4A5B1D"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noWrap/>
            <w:vAlign w:val="bottom"/>
            <w:hideMark/>
          </w:tcPr>
          <w:p w14:paraId="2B9654A2" w14:textId="77777777" w:rsidR="00492284" w:rsidRPr="006C12C3" w:rsidRDefault="00492284" w:rsidP="004E2238">
            <w:pPr>
              <w:spacing w:after="0" w:line="240" w:lineRule="auto"/>
              <w:rPr>
                <w:rFonts w:ascii="Calibri" w:eastAsia="Times New Roman" w:hAnsi="Calibri" w:cs="Calibri"/>
                <w:color w:val="000000"/>
                <w:lang w:eastAsia="el-GR"/>
              </w:rPr>
            </w:pPr>
            <w:r w:rsidRPr="006C12C3">
              <w:rPr>
                <w:rFonts w:ascii="Calibri" w:eastAsia="Times New Roman" w:hAnsi="Calibri" w:cs="Calibri"/>
                <w:color w:val="000000"/>
                <w:lang w:eastAsia="el-GR"/>
              </w:rPr>
              <w:t> </w:t>
            </w:r>
          </w:p>
        </w:tc>
      </w:tr>
      <w:tr w:rsidR="00492284" w:rsidRPr="006C12C3" w14:paraId="28DE95DE" w14:textId="77777777" w:rsidTr="009B2A0A">
        <w:trPr>
          <w:trHeight w:val="51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8620F26" w14:textId="77777777" w:rsidR="00492284" w:rsidRPr="006C12C3" w:rsidRDefault="00492284" w:rsidP="004E2238">
            <w:pPr>
              <w:spacing w:after="0" w:line="240" w:lineRule="auto"/>
              <w:jc w:val="center"/>
              <w:rPr>
                <w:rFonts w:ascii="Calibri" w:eastAsia="Times New Roman" w:hAnsi="Calibri" w:cs="Calibri"/>
                <w:lang w:eastAsia="el-GR"/>
              </w:rPr>
            </w:pPr>
            <w:r w:rsidRPr="006C12C3">
              <w:rPr>
                <w:rFonts w:ascii="Calibri" w:eastAsia="Times New Roman" w:hAnsi="Calibri" w:cs="Calibri"/>
                <w:lang w:eastAsia="el-GR"/>
              </w:rPr>
              <w:t>6_2</w:t>
            </w:r>
          </w:p>
        </w:tc>
        <w:tc>
          <w:tcPr>
            <w:tcW w:w="2090" w:type="dxa"/>
            <w:tcBorders>
              <w:top w:val="nil"/>
              <w:left w:val="nil"/>
              <w:bottom w:val="single" w:sz="4" w:space="0" w:color="auto"/>
              <w:right w:val="single" w:sz="4" w:space="0" w:color="auto"/>
            </w:tcBorders>
            <w:shd w:val="clear" w:color="auto" w:fill="auto"/>
            <w:vAlign w:val="center"/>
            <w:hideMark/>
          </w:tcPr>
          <w:p w14:paraId="44EC0696" w14:textId="77777777" w:rsidR="00492284" w:rsidRPr="006C12C3" w:rsidRDefault="00492284" w:rsidP="004E2238">
            <w:pPr>
              <w:spacing w:after="0" w:line="240" w:lineRule="auto"/>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 </w:t>
            </w:r>
          </w:p>
        </w:tc>
        <w:tc>
          <w:tcPr>
            <w:tcW w:w="6804" w:type="dxa"/>
            <w:tcBorders>
              <w:top w:val="nil"/>
              <w:left w:val="nil"/>
              <w:bottom w:val="single" w:sz="4" w:space="0" w:color="auto"/>
              <w:right w:val="single" w:sz="4" w:space="0" w:color="auto"/>
            </w:tcBorders>
            <w:shd w:val="clear" w:color="auto" w:fill="auto"/>
            <w:vAlign w:val="center"/>
            <w:hideMark/>
          </w:tcPr>
          <w:p w14:paraId="2DC583E8"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2. The suitability license is revoked automatically in case of paragraph d) of article 10 by a declaratory Act of the Chairman of the Committee.</w:t>
            </w:r>
          </w:p>
        </w:tc>
        <w:tc>
          <w:tcPr>
            <w:tcW w:w="993" w:type="dxa"/>
            <w:tcBorders>
              <w:top w:val="nil"/>
              <w:left w:val="nil"/>
              <w:bottom w:val="single" w:sz="4" w:space="0" w:color="auto"/>
              <w:right w:val="single" w:sz="4" w:space="0" w:color="auto"/>
            </w:tcBorders>
            <w:shd w:val="clear" w:color="000000" w:fill="DDEBF7"/>
            <w:vAlign w:val="center"/>
            <w:hideMark/>
          </w:tcPr>
          <w:p w14:paraId="0D6225D7"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9525252"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62CC385"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6E5593D7"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noWrap/>
            <w:vAlign w:val="bottom"/>
            <w:hideMark/>
          </w:tcPr>
          <w:p w14:paraId="641586BB" w14:textId="77777777" w:rsidR="00492284" w:rsidRPr="006C12C3" w:rsidRDefault="00492284" w:rsidP="004E2238">
            <w:pPr>
              <w:spacing w:after="0" w:line="240" w:lineRule="auto"/>
              <w:rPr>
                <w:rFonts w:ascii="Calibri" w:eastAsia="Times New Roman" w:hAnsi="Calibri" w:cs="Calibri"/>
                <w:color w:val="000000"/>
                <w:lang w:eastAsia="el-GR"/>
              </w:rPr>
            </w:pPr>
            <w:r w:rsidRPr="006C12C3">
              <w:rPr>
                <w:rFonts w:ascii="Calibri" w:eastAsia="Times New Roman" w:hAnsi="Calibri" w:cs="Calibri"/>
                <w:color w:val="000000"/>
                <w:lang w:eastAsia="el-GR"/>
              </w:rPr>
              <w:t> </w:t>
            </w:r>
          </w:p>
        </w:tc>
      </w:tr>
      <w:tr w:rsidR="00492284" w:rsidRPr="006C12C3" w14:paraId="4CDD6B20" w14:textId="77777777" w:rsidTr="009B2A0A">
        <w:trPr>
          <w:trHeight w:val="88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E2828A2" w14:textId="77777777" w:rsidR="00492284" w:rsidRPr="006C12C3" w:rsidRDefault="00492284" w:rsidP="004E2238">
            <w:pPr>
              <w:spacing w:after="0" w:line="240" w:lineRule="auto"/>
              <w:jc w:val="center"/>
              <w:rPr>
                <w:rFonts w:ascii="Calibri" w:eastAsia="Times New Roman" w:hAnsi="Calibri" w:cs="Calibri"/>
                <w:lang w:eastAsia="el-GR"/>
              </w:rPr>
            </w:pPr>
            <w:r w:rsidRPr="006C12C3">
              <w:rPr>
                <w:rFonts w:ascii="Calibri" w:eastAsia="Times New Roman" w:hAnsi="Calibri" w:cs="Calibri"/>
                <w:lang w:eastAsia="el-GR"/>
              </w:rPr>
              <w:lastRenderedPageBreak/>
              <w:t>6_3</w:t>
            </w:r>
          </w:p>
        </w:tc>
        <w:tc>
          <w:tcPr>
            <w:tcW w:w="2090" w:type="dxa"/>
            <w:tcBorders>
              <w:top w:val="nil"/>
              <w:left w:val="nil"/>
              <w:bottom w:val="single" w:sz="4" w:space="0" w:color="auto"/>
              <w:right w:val="single" w:sz="4" w:space="0" w:color="auto"/>
            </w:tcBorders>
            <w:shd w:val="clear" w:color="auto" w:fill="auto"/>
            <w:vAlign w:val="center"/>
            <w:hideMark/>
          </w:tcPr>
          <w:p w14:paraId="65ABB786" w14:textId="77777777" w:rsidR="00492284" w:rsidRPr="006C12C3" w:rsidRDefault="00492284" w:rsidP="004E2238">
            <w:pPr>
              <w:spacing w:after="0" w:line="240" w:lineRule="auto"/>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 </w:t>
            </w:r>
          </w:p>
        </w:tc>
        <w:tc>
          <w:tcPr>
            <w:tcW w:w="6804" w:type="dxa"/>
            <w:tcBorders>
              <w:top w:val="nil"/>
              <w:left w:val="nil"/>
              <w:bottom w:val="single" w:sz="4" w:space="0" w:color="auto"/>
              <w:right w:val="single" w:sz="4" w:space="0" w:color="auto"/>
            </w:tcBorders>
            <w:shd w:val="clear" w:color="auto" w:fill="auto"/>
            <w:vAlign w:val="center"/>
            <w:hideMark/>
          </w:tcPr>
          <w:p w14:paraId="07AC8672"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6C12C3">
              <w:rPr>
                <w:rFonts w:ascii="Calibri" w:eastAsia="Times New Roman" w:hAnsi="Calibri" w:cs="Calibri"/>
                <w:sz w:val="20"/>
                <w:szCs w:val="20"/>
                <w:lang w:val="en-US" w:eastAsia="el-GR"/>
              </w:rPr>
              <w:t>3. The revocation of the software suitability license entails the prohibition of its further use by the entities/users during the period set by the revocation decision and the prohibition of its sale in the Greek territory.</w:t>
            </w:r>
          </w:p>
        </w:tc>
        <w:tc>
          <w:tcPr>
            <w:tcW w:w="993" w:type="dxa"/>
            <w:tcBorders>
              <w:top w:val="nil"/>
              <w:left w:val="nil"/>
              <w:bottom w:val="single" w:sz="4" w:space="0" w:color="auto"/>
              <w:right w:val="single" w:sz="4" w:space="0" w:color="auto"/>
            </w:tcBorders>
            <w:shd w:val="clear" w:color="000000" w:fill="DDEBF7"/>
            <w:vAlign w:val="center"/>
            <w:hideMark/>
          </w:tcPr>
          <w:p w14:paraId="00AE7313"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F814119"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r w:rsidRPr="006C12C3">
              <w:rPr>
                <w:rFonts w:ascii="Calibri" w:eastAsia="Times New Roman" w:hAnsi="Calibri" w:cs="Calibri"/>
                <w:b/>
                <w:bCs/>
                <w:color w:val="000000"/>
                <w:sz w:val="28"/>
                <w:szCs w:val="28"/>
                <w:lang w:eastAsia="el-GR"/>
              </w:rPr>
              <w:br/>
            </w:r>
            <w:r w:rsidRPr="006C12C3">
              <w:rPr>
                <w:rFonts w:ascii="Calibri" w:eastAsia="Times New Roman" w:hAnsi="Calibri" w:cs="Calibri"/>
                <w:b/>
                <w:bCs/>
                <w:color w:val="000000"/>
                <w:sz w:val="20"/>
                <w:szCs w:val="20"/>
                <w:lang w:eastAsia="el-GR"/>
              </w:rPr>
              <w:t>(</w:t>
            </w:r>
            <w:proofErr w:type="spellStart"/>
            <w:r w:rsidRPr="006C12C3">
              <w:rPr>
                <w:rFonts w:ascii="Calibri" w:eastAsia="Times New Roman" w:hAnsi="Calibri" w:cs="Calibri"/>
                <w:b/>
                <w:bCs/>
                <w:color w:val="000000"/>
                <w:sz w:val="20"/>
                <w:szCs w:val="20"/>
                <w:lang w:eastAsia="el-GR"/>
              </w:rPr>
              <w:t>regarding</w:t>
            </w:r>
            <w:proofErr w:type="spellEnd"/>
            <w:r w:rsidRPr="006C12C3">
              <w:rPr>
                <w:rFonts w:ascii="Calibri" w:eastAsia="Times New Roman" w:hAnsi="Calibri" w:cs="Calibri"/>
                <w:b/>
                <w:bCs/>
                <w:color w:val="000000"/>
                <w:sz w:val="20"/>
                <w:szCs w:val="20"/>
                <w:lang w:eastAsia="el-GR"/>
              </w:rPr>
              <w:t xml:space="preserve"> </w:t>
            </w:r>
            <w:proofErr w:type="spellStart"/>
            <w:r w:rsidRPr="006C12C3">
              <w:rPr>
                <w:rFonts w:ascii="Calibri" w:eastAsia="Times New Roman" w:hAnsi="Calibri" w:cs="Calibri"/>
                <w:b/>
                <w:bCs/>
                <w:color w:val="000000"/>
                <w:sz w:val="20"/>
                <w:szCs w:val="20"/>
                <w:lang w:eastAsia="el-GR"/>
              </w:rPr>
              <w:t>its</w:t>
            </w:r>
            <w:proofErr w:type="spellEnd"/>
            <w:r w:rsidRPr="006C12C3">
              <w:rPr>
                <w:rFonts w:ascii="Calibri" w:eastAsia="Times New Roman" w:hAnsi="Calibri" w:cs="Calibri"/>
                <w:b/>
                <w:bCs/>
                <w:color w:val="000000"/>
                <w:sz w:val="20"/>
                <w:szCs w:val="20"/>
                <w:lang w:eastAsia="el-GR"/>
              </w:rPr>
              <w:t xml:space="preserve"> </w:t>
            </w:r>
            <w:proofErr w:type="spellStart"/>
            <w:r w:rsidRPr="006C12C3">
              <w:rPr>
                <w:rFonts w:ascii="Calibri" w:eastAsia="Times New Roman" w:hAnsi="Calibri" w:cs="Calibri"/>
                <w:b/>
                <w:bCs/>
                <w:color w:val="000000"/>
                <w:sz w:val="20"/>
                <w:szCs w:val="20"/>
                <w:lang w:eastAsia="el-GR"/>
              </w:rPr>
              <w:t>self-support</w:t>
            </w:r>
            <w:proofErr w:type="spellEnd"/>
            <w:r w:rsidRPr="006C12C3">
              <w:rPr>
                <w:rFonts w:ascii="Calibri" w:eastAsia="Times New Roman" w:hAnsi="Calibri"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CAB2177"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2C2FBF2E"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noWrap/>
            <w:vAlign w:val="bottom"/>
            <w:hideMark/>
          </w:tcPr>
          <w:p w14:paraId="3EC5FF3C" w14:textId="77777777" w:rsidR="00492284" w:rsidRPr="006C12C3" w:rsidRDefault="00492284" w:rsidP="004E2238">
            <w:pPr>
              <w:spacing w:after="0" w:line="240" w:lineRule="auto"/>
              <w:rPr>
                <w:rFonts w:ascii="Calibri" w:eastAsia="Times New Roman" w:hAnsi="Calibri" w:cs="Calibri"/>
                <w:color w:val="000000"/>
                <w:lang w:eastAsia="el-GR"/>
              </w:rPr>
            </w:pPr>
            <w:r w:rsidRPr="006C12C3">
              <w:rPr>
                <w:rFonts w:ascii="Calibri" w:eastAsia="Times New Roman" w:hAnsi="Calibri" w:cs="Calibri"/>
                <w:color w:val="000000"/>
                <w:lang w:eastAsia="el-GR"/>
              </w:rPr>
              <w:t> </w:t>
            </w:r>
          </w:p>
        </w:tc>
      </w:tr>
      <w:tr w:rsidR="00492284" w:rsidRPr="006C12C3" w14:paraId="429AA7DB" w14:textId="77777777" w:rsidTr="009B2A0A">
        <w:trPr>
          <w:trHeight w:val="136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5638BA8" w14:textId="77777777" w:rsidR="00492284" w:rsidRPr="006C12C3" w:rsidRDefault="00492284" w:rsidP="004E2238">
            <w:pPr>
              <w:spacing w:after="0" w:line="240" w:lineRule="auto"/>
              <w:jc w:val="center"/>
              <w:rPr>
                <w:rFonts w:ascii="Calibri" w:eastAsia="Times New Roman" w:hAnsi="Calibri" w:cs="Calibri"/>
                <w:lang w:eastAsia="el-GR"/>
              </w:rPr>
            </w:pPr>
            <w:r w:rsidRPr="006C12C3">
              <w:rPr>
                <w:rFonts w:ascii="Calibri" w:eastAsia="Times New Roman" w:hAnsi="Calibri" w:cs="Calibri"/>
                <w:lang w:eastAsia="el-GR"/>
              </w:rPr>
              <w:t>6_4</w:t>
            </w:r>
          </w:p>
        </w:tc>
        <w:tc>
          <w:tcPr>
            <w:tcW w:w="2090" w:type="dxa"/>
            <w:tcBorders>
              <w:top w:val="nil"/>
              <w:left w:val="nil"/>
              <w:bottom w:val="single" w:sz="4" w:space="0" w:color="auto"/>
              <w:right w:val="single" w:sz="4" w:space="0" w:color="auto"/>
            </w:tcBorders>
            <w:shd w:val="clear" w:color="auto" w:fill="auto"/>
            <w:vAlign w:val="center"/>
            <w:hideMark/>
          </w:tcPr>
          <w:p w14:paraId="36F18E7D" w14:textId="77777777" w:rsidR="00492284" w:rsidRPr="006C12C3" w:rsidRDefault="00492284" w:rsidP="004E2238">
            <w:pPr>
              <w:spacing w:after="0" w:line="240" w:lineRule="auto"/>
              <w:rPr>
                <w:rFonts w:ascii="Calibri" w:eastAsia="Times New Roman" w:hAnsi="Calibri" w:cs="Calibri"/>
                <w:sz w:val="20"/>
                <w:szCs w:val="20"/>
                <w:lang w:eastAsia="el-GR"/>
              </w:rPr>
            </w:pPr>
            <w:r w:rsidRPr="006C12C3">
              <w:rPr>
                <w:rFonts w:ascii="Calibri" w:eastAsia="Times New Roman" w:hAnsi="Calibri" w:cs="Calibri"/>
                <w:sz w:val="20"/>
                <w:szCs w:val="20"/>
                <w:lang w:eastAsia="el-GR"/>
              </w:rPr>
              <w:t> </w:t>
            </w:r>
          </w:p>
        </w:tc>
        <w:tc>
          <w:tcPr>
            <w:tcW w:w="6804" w:type="dxa"/>
            <w:tcBorders>
              <w:top w:val="nil"/>
              <w:left w:val="nil"/>
              <w:bottom w:val="single" w:sz="4" w:space="0" w:color="auto"/>
              <w:right w:val="single" w:sz="4" w:space="0" w:color="auto"/>
            </w:tcBorders>
            <w:shd w:val="clear" w:color="auto" w:fill="auto"/>
            <w:vAlign w:val="center"/>
            <w:hideMark/>
          </w:tcPr>
          <w:p w14:paraId="6BF41ECF" w14:textId="77777777" w:rsidR="00492284" w:rsidRPr="006C12C3" w:rsidRDefault="00492284" w:rsidP="004E2238">
            <w:pPr>
              <w:spacing w:after="0" w:line="240" w:lineRule="auto"/>
              <w:rPr>
                <w:rFonts w:ascii="Calibri" w:eastAsia="Times New Roman" w:hAnsi="Calibri" w:cs="Calibri"/>
                <w:sz w:val="20"/>
                <w:szCs w:val="20"/>
                <w:lang w:val="en-US" w:eastAsia="el-GR"/>
              </w:rPr>
            </w:pPr>
            <w:r w:rsidRPr="00093E69">
              <w:rPr>
                <w:rFonts w:ascii="Calibri" w:eastAsia="Times New Roman" w:hAnsi="Calibri" w:cs="Calibri"/>
                <w:sz w:val="20"/>
                <w:szCs w:val="20"/>
                <w:lang w:val="en-US" w:eastAsia="el-GR"/>
              </w:rPr>
              <w:t>4. Entities/users of software, whose suitability license is revoked, are required to replace it without delay with licensed software or another legal method of issuing their documents, as the case may be, no later than the expiry of the date on which the use of the aforementioned software is prohibited, as defined by the Committee's decision.</w:t>
            </w:r>
          </w:p>
        </w:tc>
        <w:tc>
          <w:tcPr>
            <w:tcW w:w="993" w:type="dxa"/>
            <w:tcBorders>
              <w:top w:val="nil"/>
              <w:left w:val="nil"/>
              <w:bottom w:val="single" w:sz="4" w:space="0" w:color="auto"/>
              <w:right w:val="single" w:sz="4" w:space="0" w:color="auto"/>
            </w:tcBorders>
            <w:shd w:val="clear" w:color="000000" w:fill="DDEBF7"/>
            <w:vAlign w:val="center"/>
            <w:hideMark/>
          </w:tcPr>
          <w:p w14:paraId="0F4EDD65"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F901846" w14:textId="77777777" w:rsidR="00492284" w:rsidRPr="006C12C3" w:rsidRDefault="00492284" w:rsidP="004E2238">
            <w:pPr>
              <w:spacing w:after="0" w:line="240" w:lineRule="auto"/>
              <w:jc w:val="center"/>
              <w:rPr>
                <w:rFonts w:ascii="Calibri" w:eastAsia="Times New Roman" w:hAnsi="Calibri" w:cs="Calibri"/>
                <w:b/>
                <w:bCs/>
                <w:color w:val="000000"/>
                <w:sz w:val="28"/>
                <w:szCs w:val="28"/>
                <w:lang w:eastAsia="el-GR"/>
              </w:rPr>
            </w:pPr>
            <w:r w:rsidRPr="006C12C3">
              <w:rPr>
                <w:rFonts w:ascii="Calibri" w:eastAsia="Times New Roman" w:hAnsi="Calibri" w:cs="Calibri"/>
                <w:b/>
                <w:bCs/>
                <w:color w:val="000000"/>
                <w:sz w:val="28"/>
                <w:szCs w:val="28"/>
                <w:lang w:eastAsia="el-GR"/>
              </w:rPr>
              <w:t>√</w:t>
            </w:r>
            <w:r w:rsidRPr="006C12C3">
              <w:rPr>
                <w:rFonts w:ascii="Calibri" w:eastAsia="Times New Roman" w:hAnsi="Calibri" w:cs="Calibri"/>
                <w:b/>
                <w:bCs/>
                <w:color w:val="000000"/>
                <w:sz w:val="28"/>
                <w:szCs w:val="28"/>
                <w:lang w:eastAsia="el-GR"/>
              </w:rPr>
              <w:br/>
            </w:r>
            <w:r w:rsidRPr="006C12C3">
              <w:rPr>
                <w:rFonts w:ascii="Calibri" w:eastAsia="Times New Roman" w:hAnsi="Calibri" w:cs="Calibri"/>
                <w:b/>
                <w:bCs/>
                <w:color w:val="000000"/>
                <w:sz w:val="20"/>
                <w:szCs w:val="20"/>
                <w:lang w:eastAsia="el-GR"/>
              </w:rPr>
              <w:t>(</w:t>
            </w:r>
            <w:proofErr w:type="spellStart"/>
            <w:r w:rsidRPr="006C12C3">
              <w:rPr>
                <w:rFonts w:ascii="Calibri" w:eastAsia="Times New Roman" w:hAnsi="Calibri" w:cs="Calibri"/>
                <w:b/>
                <w:bCs/>
                <w:color w:val="000000"/>
                <w:sz w:val="20"/>
                <w:szCs w:val="20"/>
                <w:lang w:eastAsia="el-GR"/>
              </w:rPr>
              <w:t>regarding</w:t>
            </w:r>
            <w:proofErr w:type="spellEnd"/>
            <w:r w:rsidRPr="006C12C3">
              <w:rPr>
                <w:rFonts w:ascii="Calibri" w:eastAsia="Times New Roman" w:hAnsi="Calibri" w:cs="Calibri"/>
                <w:b/>
                <w:bCs/>
                <w:color w:val="000000"/>
                <w:sz w:val="20"/>
                <w:szCs w:val="20"/>
                <w:lang w:eastAsia="el-GR"/>
              </w:rPr>
              <w:t xml:space="preserve"> </w:t>
            </w:r>
            <w:proofErr w:type="spellStart"/>
            <w:r w:rsidRPr="006C12C3">
              <w:rPr>
                <w:rFonts w:ascii="Calibri" w:eastAsia="Times New Roman" w:hAnsi="Calibri" w:cs="Calibri"/>
                <w:b/>
                <w:bCs/>
                <w:color w:val="000000"/>
                <w:sz w:val="20"/>
                <w:szCs w:val="20"/>
                <w:lang w:eastAsia="el-GR"/>
              </w:rPr>
              <w:t>its</w:t>
            </w:r>
            <w:proofErr w:type="spellEnd"/>
            <w:r w:rsidRPr="006C12C3">
              <w:rPr>
                <w:rFonts w:ascii="Calibri" w:eastAsia="Times New Roman" w:hAnsi="Calibri" w:cs="Calibri"/>
                <w:b/>
                <w:bCs/>
                <w:color w:val="000000"/>
                <w:sz w:val="20"/>
                <w:szCs w:val="20"/>
                <w:lang w:eastAsia="el-GR"/>
              </w:rPr>
              <w:t xml:space="preserve"> </w:t>
            </w:r>
            <w:proofErr w:type="spellStart"/>
            <w:r w:rsidRPr="006C12C3">
              <w:rPr>
                <w:rFonts w:ascii="Calibri" w:eastAsia="Times New Roman" w:hAnsi="Calibri" w:cs="Calibri"/>
                <w:b/>
                <w:bCs/>
                <w:color w:val="000000"/>
                <w:sz w:val="20"/>
                <w:szCs w:val="20"/>
                <w:lang w:eastAsia="el-GR"/>
              </w:rPr>
              <w:t>self-support</w:t>
            </w:r>
            <w:proofErr w:type="spellEnd"/>
            <w:r w:rsidRPr="006C12C3">
              <w:rPr>
                <w:rFonts w:ascii="Calibri" w:eastAsia="Times New Roman" w:hAnsi="Calibri"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6001231"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92" w:type="dxa"/>
            <w:tcBorders>
              <w:top w:val="nil"/>
              <w:left w:val="nil"/>
              <w:bottom w:val="single" w:sz="4" w:space="0" w:color="auto"/>
              <w:right w:val="single" w:sz="4" w:space="0" w:color="auto"/>
            </w:tcBorders>
            <w:shd w:val="clear" w:color="auto" w:fill="auto"/>
            <w:noWrap/>
            <w:vAlign w:val="center"/>
            <w:hideMark/>
          </w:tcPr>
          <w:p w14:paraId="3BC6B6B2" w14:textId="77777777" w:rsidR="00492284" w:rsidRPr="006C12C3" w:rsidRDefault="00492284" w:rsidP="004E2238">
            <w:pPr>
              <w:spacing w:after="0" w:line="240" w:lineRule="auto"/>
              <w:jc w:val="center"/>
              <w:rPr>
                <w:rFonts w:ascii="Calibri" w:eastAsia="Times New Roman" w:hAnsi="Calibri" w:cs="Calibri"/>
                <w:color w:val="000000"/>
                <w:sz w:val="20"/>
                <w:szCs w:val="20"/>
                <w:lang w:eastAsia="el-GR"/>
              </w:rPr>
            </w:pPr>
            <w:r w:rsidRPr="006C12C3">
              <w:rPr>
                <w:rFonts w:ascii="Calibri" w:eastAsia="Times New Roman" w:hAnsi="Calibri" w:cs="Calibri"/>
                <w:color w:val="000000"/>
                <w:sz w:val="20"/>
                <w:szCs w:val="20"/>
                <w:lang w:eastAsia="el-GR"/>
              </w:rPr>
              <w:t>YES</w:t>
            </w:r>
          </w:p>
        </w:tc>
        <w:tc>
          <w:tcPr>
            <w:tcW w:w="972" w:type="dxa"/>
            <w:tcBorders>
              <w:top w:val="nil"/>
              <w:left w:val="nil"/>
              <w:bottom w:val="single" w:sz="4" w:space="0" w:color="auto"/>
              <w:right w:val="single" w:sz="4" w:space="0" w:color="auto"/>
            </w:tcBorders>
            <w:shd w:val="clear" w:color="auto" w:fill="auto"/>
            <w:noWrap/>
            <w:vAlign w:val="bottom"/>
            <w:hideMark/>
          </w:tcPr>
          <w:p w14:paraId="515B9CC9" w14:textId="77777777" w:rsidR="00492284" w:rsidRPr="006C12C3" w:rsidRDefault="00492284" w:rsidP="004E2238">
            <w:pPr>
              <w:spacing w:after="0" w:line="240" w:lineRule="auto"/>
              <w:rPr>
                <w:rFonts w:ascii="Calibri" w:eastAsia="Times New Roman" w:hAnsi="Calibri" w:cs="Calibri"/>
                <w:color w:val="000000"/>
                <w:lang w:eastAsia="el-GR"/>
              </w:rPr>
            </w:pPr>
            <w:r w:rsidRPr="006C12C3">
              <w:rPr>
                <w:rFonts w:ascii="Calibri" w:eastAsia="Times New Roman" w:hAnsi="Calibri" w:cs="Calibri"/>
                <w:color w:val="000000"/>
                <w:lang w:eastAsia="el-GR"/>
              </w:rPr>
              <w:t> </w:t>
            </w:r>
          </w:p>
        </w:tc>
      </w:tr>
    </w:tbl>
    <w:p w14:paraId="5F156A82" w14:textId="014C6653" w:rsidR="0050722B" w:rsidRDefault="0050722B" w:rsidP="00905F0A">
      <w:pPr>
        <w:rPr>
          <w:rFonts w:ascii="Franklin Gothic Medium" w:hAnsi="Franklin Gothic Medium"/>
          <w:b/>
          <w:bCs/>
          <w:color w:val="000000" w:themeColor="text1"/>
          <w:sz w:val="20"/>
          <w:szCs w:val="23"/>
          <w:lang w:val="en-US"/>
        </w:rPr>
      </w:pPr>
    </w:p>
    <w:p w14:paraId="6AFE2F74" w14:textId="77777777" w:rsidR="00492284" w:rsidRPr="00492284" w:rsidRDefault="00492284" w:rsidP="00905F0A">
      <w:pPr>
        <w:rPr>
          <w:rFonts w:ascii="Franklin Gothic Medium" w:hAnsi="Franklin Gothic Medium"/>
          <w:b/>
          <w:bCs/>
          <w:color w:val="000000" w:themeColor="text1"/>
          <w:sz w:val="20"/>
          <w:szCs w:val="23"/>
          <w:lang w:val="en-US"/>
        </w:rPr>
      </w:pPr>
    </w:p>
    <w:p w14:paraId="701DE414" w14:textId="5EB78D67" w:rsidR="000439BF" w:rsidRPr="00A836F4" w:rsidRDefault="000439BF" w:rsidP="00A34FA9">
      <w:pPr>
        <w:rPr>
          <w:rFonts w:ascii="Franklin Gothic Medium" w:hAnsi="Franklin Gothic Medium"/>
          <w:b/>
          <w:bCs/>
          <w:sz w:val="16"/>
          <w:szCs w:val="16"/>
          <w:lang w:val="en-US"/>
        </w:rPr>
      </w:pPr>
      <w:r w:rsidRPr="00A836F4">
        <w:rPr>
          <w:rFonts w:ascii="Franklin Gothic Medium" w:hAnsi="Franklin Gothic Medium"/>
          <w:b/>
          <w:bCs/>
          <w:sz w:val="16"/>
          <w:szCs w:val="16"/>
          <w:lang w:val="en-US"/>
        </w:rPr>
        <w:t>Each URL must be completed with an explanation and a clear reference to the submitted supporting document</w:t>
      </w:r>
      <w:r w:rsidR="0097479D">
        <w:rPr>
          <w:rFonts w:ascii="Franklin Gothic Medium" w:hAnsi="Franklin Gothic Medium"/>
          <w:b/>
          <w:bCs/>
          <w:sz w:val="16"/>
          <w:szCs w:val="16"/>
          <w:lang w:val="en-US"/>
        </w:rPr>
        <w:t>s</w:t>
      </w:r>
      <w:r w:rsidRPr="00A836F4">
        <w:rPr>
          <w:rFonts w:ascii="Franklin Gothic Medium" w:hAnsi="Franklin Gothic Medium"/>
          <w:b/>
          <w:bCs/>
          <w:sz w:val="16"/>
          <w:szCs w:val="16"/>
          <w:lang w:val="en-US"/>
        </w:rPr>
        <w:t>.</w:t>
      </w:r>
    </w:p>
    <w:p w14:paraId="39EC27D1" w14:textId="248736B8" w:rsidR="000439BF" w:rsidRDefault="000439BF" w:rsidP="00773B3B">
      <w:pPr>
        <w:rPr>
          <w:rFonts w:ascii="Franklin Gothic Medium" w:hAnsi="Franklin Gothic Medium"/>
          <w:b/>
          <w:bCs/>
          <w:sz w:val="16"/>
          <w:szCs w:val="16"/>
          <w:lang w:val="en-US"/>
        </w:rPr>
      </w:pPr>
      <w:r w:rsidRPr="00A836F4">
        <w:rPr>
          <w:rFonts w:ascii="Franklin Gothic Medium" w:hAnsi="Franklin Gothic Medium"/>
          <w:b/>
          <w:bCs/>
          <w:sz w:val="16"/>
          <w:szCs w:val="16"/>
          <w:lang w:val="en-US"/>
        </w:rPr>
        <w:t xml:space="preserve">It is recommended to refer to supporting document (d) “Data Transmission via </w:t>
      </w:r>
      <w:proofErr w:type="spellStart"/>
      <w:r w:rsidRPr="00A836F4">
        <w:rPr>
          <w:rFonts w:ascii="Franklin Gothic Medium" w:hAnsi="Franklin Gothic Medium"/>
          <w:b/>
          <w:bCs/>
          <w:sz w:val="16"/>
          <w:szCs w:val="16"/>
          <w:lang w:val="en-US"/>
        </w:rPr>
        <w:t>myDATA</w:t>
      </w:r>
      <w:proofErr w:type="spellEnd"/>
      <w:r w:rsidRPr="00A836F4">
        <w:rPr>
          <w:rFonts w:ascii="Franklin Gothic Medium" w:hAnsi="Franklin Gothic Medium"/>
          <w:b/>
          <w:bCs/>
          <w:sz w:val="16"/>
          <w:szCs w:val="16"/>
          <w:lang w:val="en-US"/>
        </w:rPr>
        <w:t xml:space="preserve"> Interface” of </w:t>
      </w:r>
      <w:r w:rsidR="0097479D">
        <w:rPr>
          <w:rFonts w:ascii="Franklin Gothic Medium" w:hAnsi="Franklin Gothic Medium"/>
          <w:b/>
          <w:bCs/>
          <w:sz w:val="16"/>
          <w:szCs w:val="16"/>
          <w:lang w:val="en-US"/>
        </w:rPr>
        <w:t xml:space="preserve">par. 2 of </w:t>
      </w:r>
      <w:r w:rsidRPr="00A836F4">
        <w:rPr>
          <w:rFonts w:ascii="Franklin Gothic Medium" w:hAnsi="Franklin Gothic Medium"/>
          <w:b/>
          <w:bCs/>
          <w:sz w:val="16"/>
          <w:szCs w:val="16"/>
          <w:lang w:val="en-US"/>
        </w:rPr>
        <w:t xml:space="preserve">Article </w:t>
      </w:r>
      <w:r w:rsidR="006E38FE" w:rsidRPr="00A836F4">
        <w:rPr>
          <w:rFonts w:ascii="Franklin Gothic Medium" w:hAnsi="Franklin Gothic Medium"/>
          <w:b/>
          <w:bCs/>
          <w:sz w:val="16"/>
          <w:szCs w:val="16"/>
          <w:lang w:val="en-US"/>
        </w:rPr>
        <w:t>4</w:t>
      </w:r>
      <w:r w:rsidR="00492284">
        <w:rPr>
          <w:rFonts w:ascii="Franklin Gothic Medium" w:hAnsi="Franklin Gothic Medium"/>
          <w:b/>
          <w:bCs/>
          <w:sz w:val="16"/>
          <w:szCs w:val="16"/>
          <w:lang w:val="en-US"/>
        </w:rPr>
        <w:t xml:space="preserve"> </w:t>
      </w:r>
      <w:r w:rsidRPr="00A836F4">
        <w:rPr>
          <w:rFonts w:ascii="Franklin Gothic Medium" w:hAnsi="Franklin Gothic Medium"/>
          <w:b/>
          <w:bCs/>
          <w:sz w:val="16"/>
          <w:szCs w:val="16"/>
          <w:lang w:val="en-US"/>
        </w:rPr>
        <w:t>of A.1112/2025.</w:t>
      </w:r>
    </w:p>
    <w:p w14:paraId="079B0265" w14:textId="60B786F3" w:rsidR="006C12C3" w:rsidRDefault="006C12C3" w:rsidP="00773B3B">
      <w:pPr>
        <w:rPr>
          <w:rFonts w:ascii="Franklin Gothic Medium" w:hAnsi="Franklin Gothic Medium"/>
          <w:b/>
          <w:bCs/>
          <w:sz w:val="16"/>
          <w:szCs w:val="16"/>
          <w:lang w:val="en-US"/>
        </w:rPr>
      </w:pPr>
    </w:p>
    <w:p w14:paraId="7BC10332" w14:textId="36A49D16" w:rsidR="006C12C3" w:rsidRDefault="006C12C3" w:rsidP="00773B3B">
      <w:pPr>
        <w:rPr>
          <w:rFonts w:ascii="Franklin Gothic Medium" w:hAnsi="Franklin Gothic Medium"/>
          <w:b/>
          <w:bCs/>
          <w:sz w:val="16"/>
          <w:szCs w:val="16"/>
          <w:lang w:val="en-US"/>
        </w:rPr>
      </w:pPr>
    </w:p>
    <w:p w14:paraId="642B1BA6" w14:textId="64D09428" w:rsidR="006C12C3" w:rsidRDefault="006C12C3" w:rsidP="00773B3B">
      <w:pPr>
        <w:rPr>
          <w:rFonts w:ascii="Franklin Gothic Medium" w:hAnsi="Franklin Gothic Medium"/>
          <w:b/>
          <w:bCs/>
          <w:sz w:val="16"/>
          <w:szCs w:val="16"/>
          <w:lang w:val="en-US"/>
        </w:rPr>
      </w:pPr>
    </w:p>
    <w:p w14:paraId="30D0AF1B" w14:textId="50DA59DA" w:rsidR="006C12C3" w:rsidRDefault="006C12C3" w:rsidP="00773B3B">
      <w:pPr>
        <w:rPr>
          <w:rFonts w:ascii="Franklin Gothic Medium" w:hAnsi="Franklin Gothic Medium"/>
          <w:b/>
          <w:bCs/>
          <w:sz w:val="16"/>
          <w:szCs w:val="16"/>
          <w:lang w:val="en-US"/>
        </w:rPr>
      </w:pPr>
    </w:p>
    <w:p w14:paraId="63B5DF21" w14:textId="77777777" w:rsidR="006C12C3" w:rsidRPr="00A836F4" w:rsidRDefault="006C12C3" w:rsidP="00773B3B">
      <w:pPr>
        <w:rPr>
          <w:rFonts w:ascii="Franklin Gothic Medium" w:hAnsi="Franklin Gothic Medium"/>
          <w:b/>
          <w:bCs/>
          <w:sz w:val="16"/>
          <w:szCs w:val="16"/>
          <w:lang w:val="en-US"/>
        </w:rPr>
      </w:pPr>
    </w:p>
    <w:p w14:paraId="06008382" w14:textId="77777777" w:rsidR="006C12C3" w:rsidRDefault="006C12C3" w:rsidP="00F42FB8">
      <w:pPr>
        <w:jc w:val="both"/>
        <w:rPr>
          <w:rFonts w:ascii="Franklin Gothic Medium" w:hAnsi="Franklin Gothic Medium"/>
          <w:b/>
          <w:bCs/>
          <w:color w:val="1F497D" w:themeColor="text2"/>
          <w:sz w:val="28"/>
          <w:szCs w:val="28"/>
          <w:lang w:val="en-US"/>
        </w:rPr>
        <w:sectPr w:rsidR="006C12C3" w:rsidSect="00863088">
          <w:pgSz w:w="16838" w:h="11906" w:orient="landscape"/>
          <w:pgMar w:top="720" w:right="720" w:bottom="720" w:left="720" w:header="708" w:footer="708" w:gutter="0"/>
          <w:cols w:space="708"/>
          <w:docGrid w:linePitch="360"/>
        </w:sectPr>
      </w:pPr>
    </w:p>
    <w:p w14:paraId="3812AE26" w14:textId="533DD425" w:rsidR="000439BF" w:rsidRPr="00693AD8" w:rsidRDefault="000439BF" w:rsidP="00F42FB8">
      <w:pPr>
        <w:jc w:val="both"/>
        <w:rPr>
          <w:rFonts w:ascii="Franklin Gothic Medium" w:hAnsi="Franklin Gothic Medium"/>
          <w:b/>
          <w:bCs/>
          <w:color w:val="1F497D" w:themeColor="text2"/>
          <w:sz w:val="28"/>
          <w:szCs w:val="28"/>
          <w:lang w:val="en-US"/>
        </w:rPr>
      </w:pPr>
      <w:r w:rsidRPr="00693AD8">
        <w:rPr>
          <w:rFonts w:ascii="Franklin Gothic Medium" w:hAnsi="Franklin Gothic Medium"/>
          <w:b/>
          <w:bCs/>
          <w:color w:val="1F497D" w:themeColor="text2"/>
          <w:sz w:val="28"/>
          <w:szCs w:val="28"/>
          <w:lang w:val="en-US"/>
        </w:rPr>
        <w:lastRenderedPageBreak/>
        <w:t>Licensing Procedure</w:t>
      </w:r>
    </w:p>
    <w:p w14:paraId="0CE091BA" w14:textId="3D3DF3F0" w:rsidR="00214C15" w:rsidRPr="000439BF" w:rsidRDefault="000439BF" w:rsidP="00F42FB8">
      <w:pPr>
        <w:jc w:val="both"/>
        <w:rPr>
          <w:rFonts w:ascii="Franklin Gothic Medium" w:hAnsi="Franklin Gothic Medium" w:cstheme="minorHAnsi"/>
          <w:color w:val="000000"/>
          <w:lang w:val="en-US"/>
        </w:rPr>
      </w:pPr>
      <w:r w:rsidRPr="000439BF">
        <w:rPr>
          <w:rFonts w:ascii="Franklin Gothic Medium" w:hAnsi="Franklin Gothic Medium" w:cstheme="minorHAnsi"/>
          <w:color w:val="000000"/>
          <w:lang w:val="en-US"/>
        </w:rPr>
        <w:t xml:space="preserve">For the understanding of the examination process of each submitted </w:t>
      </w:r>
      <w:r w:rsidR="00A533D8">
        <w:rPr>
          <w:rFonts w:ascii="Franklin Gothic Medium" w:hAnsi="Franklin Gothic Medium" w:cstheme="minorHAnsi"/>
          <w:color w:val="000000"/>
          <w:lang w:val="en-US"/>
        </w:rPr>
        <w:t>YPAHES</w:t>
      </w:r>
      <w:r w:rsidR="0097479D" w:rsidRPr="0097479D">
        <w:rPr>
          <w:rFonts w:ascii="Franklin Gothic Medium" w:hAnsi="Franklin Gothic Medium" w:cstheme="minorHAnsi"/>
          <w:color w:val="000000"/>
          <w:lang w:val="en-US"/>
        </w:rPr>
        <w:t>/</w:t>
      </w:r>
      <w:r w:rsidR="0097479D">
        <w:rPr>
          <w:rFonts w:ascii="Franklin Gothic Medium" w:hAnsi="Franklin Gothic Medium" w:cstheme="minorHAnsi"/>
          <w:color w:val="000000"/>
          <w:lang w:val="en-US"/>
        </w:rPr>
        <w:t>EDISP</w:t>
      </w:r>
      <w:r w:rsidRPr="000439BF">
        <w:rPr>
          <w:rFonts w:ascii="Franklin Gothic Medium" w:hAnsi="Franklin Gothic Medium" w:cstheme="minorHAnsi"/>
          <w:color w:val="000000"/>
          <w:lang w:val="en-US"/>
        </w:rPr>
        <w:t xml:space="preserve"> Suitability File, and in accordance with the above Compliance / Documentation Table, briefly </w:t>
      </w:r>
      <w:r w:rsidR="0097479D">
        <w:rPr>
          <w:rFonts w:ascii="Franklin Gothic Medium" w:hAnsi="Franklin Gothic Medium" w:cstheme="minorHAnsi"/>
          <w:color w:val="000000"/>
          <w:lang w:val="en-US"/>
        </w:rPr>
        <w:t>the following are mentioned</w:t>
      </w:r>
      <w:r w:rsidRPr="000439BF">
        <w:rPr>
          <w:rFonts w:ascii="Franklin Gothic Medium" w:hAnsi="Franklin Gothic Medium" w:cstheme="minorHAnsi"/>
          <w:color w:val="000000"/>
          <w:lang w:val="en-US"/>
        </w:rPr>
        <w:t>:</w:t>
      </w:r>
    </w:p>
    <w:p w14:paraId="1E898202" w14:textId="77777777" w:rsidR="000439BF" w:rsidRPr="00A836F4" w:rsidRDefault="000439BF" w:rsidP="00F42FB8">
      <w:pPr>
        <w:jc w:val="both"/>
        <w:rPr>
          <w:rFonts w:ascii="Franklin Gothic Medium" w:hAnsi="Franklin Gothic Medium" w:cstheme="minorHAnsi"/>
          <w:color w:val="000000"/>
          <w:u w:val="single"/>
          <w:lang w:val="en-US"/>
        </w:rPr>
      </w:pPr>
      <w:r w:rsidRPr="00A836F4">
        <w:rPr>
          <w:rFonts w:ascii="Franklin Gothic Medium" w:hAnsi="Franklin Gothic Medium" w:cstheme="minorHAnsi"/>
          <w:color w:val="000000"/>
          <w:u w:val="single"/>
          <w:lang w:val="en-US"/>
        </w:rPr>
        <w:t>1st Stage</w:t>
      </w:r>
    </w:p>
    <w:p w14:paraId="150B3D63" w14:textId="6F55EFD4" w:rsidR="00F42FB8" w:rsidRPr="00A836F4" w:rsidRDefault="000439BF" w:rsidP="00F42FB8">
      <w:pPr>
        <w:jc w:val="both"/>
        <w:rPr>
          <w:rFonts w:ascii="Franklin Gothic Medium" w:hAnsi="Franklin Gothic Medium" w:cstheme="minorHAnsi"/>
          <w:color w:val="000000"/>
          <w:lang w:val="en-US"/>
        </w:rPr>
      </w:pPr>
      <w:r w:rsidRPr="00A836F4">
        <w:rPr>
          <w:rFonts w:ascii="Franklin Gothic Medium" w:hAnsi="Franklin Gothic Medium" w:cstheme="minorHAnsi"/>
          <w:color w:val="000000"/>
          <w:lang w:val="en-US"/>
        </w:rPr>
        <w:t xml:space="preserve">The Candidate </w:t>
      </w:r>
      <w:r w:rsidR="006E38FE" w:rsidRPr="00A836F4">
        <w:rPr>
          <w:rFonts w:ascii="Franklin Gothic Medium" w:hAnsi="Franklin Gothic Medium" w:cstheme="minorHAnsi"/>
          <w:color w:val="000000"/>
          <w:lang w:val="en-US"/>
        </w:rPr>
        <w:t>YPAHES</w:t>
      </w:r>
      <w:r w:rsidR="0097479D">
        <w:rPr>
          <w:rFonts w:ascii="Franklin Gothic Medium" w:hAnsi="Franklin Gothic Medium" w:cstheme="minorHAnsi"/>
          <w:color w:val="000000"/>
          <w:lang w:val="en-US"/>
        </w:rPr>
        <w:t>/EDISP</w:t>
      </w:r>
      <w:r w:rsidRPr="00A836F4">
        <w:rPr>
          <w:rFonts w:ascii="Franklin Gothic Medium" w:hAnsi="Franklin Gothic Medium" w:cstheme="minorHAnsi"/>
          <w:color w:val="000000"/>
          <w:lang w:val="en-US"/>
        </w:rPr>
        <w:t xml:space="preserve"> Provider transmits Invoice Types A1 and A2 to the </w:t>
      </w:r>
      <w:proofErr w:type="spellStart"/>
      <w:r w:rsidRPr="00A836F4">
        <w:rPr>
          <w:rFonts w:ascii="Franklin Gothic Medium" w:hAnsi="Franklin Gothic Medium" w:cstheme="minorHAnsi"/>
          <w:color w:val="000000"/>
          <w:lang w:val="en-US"/>
        </w:rPr>
        <w:t>myDATA</w:t>
      </w:r>
      <w:proofErr w:type="spellEnd"/>
      <w:r w:rsidRPr="00A836F4">
        <w:rPr>
          <w:rFonts w:ascii="Franklin Gothic Medium" w:hAnsi="Franklin Gothic Medium" w:cstheme="minorHAnsi"/>
          <w:color w:val="000000"/>
          <w:lang w:val="en-US"/>
        </w:rPr>
        <w:t xml:space="preserve"> digital platform</w:t>
      </w:r>
      <w:r w:rsidR="0097479D">
        <w:rPr>
          <w:rFonts w:ascii="Franklin Gothic Medium" w:hAnsi="Franklin Gothic Medium" w:cstheme="minorHAnsi"/>
          <w:color w:val="000000"/>
          <w:lang w:val="en-US"/>
        </w:rPr>
        <w:t xml:space="preserve"> (from 1.1 to 11.5)</w:t>
      </w:r>
      <w:r w:rsidRPr="00A836F4">
        <w:rPr>
          <w:rFonts w:ascii="Franklin Gothic Medium" w:hAnsi="Franklin Gothic Medium" w:cstheme="minorHAnsi"/>
          <w:color w:val="000000"/>
          <w:lang w:val="en-US"/>
        </w:rPr>
        <w:t>, and in the event that the interface process is completed smoothly without technical errors, notifies the Committee via e-mail</w:t>
      </w:r>
      <w:r w:rsidR="0097479D">
        <w:rPr>
          <w:rFonts w:ascii="Franklin Gothic Medium" w:hAnsi="Franklin Gothic Medium" w:cstheme="minorHAnsi"/>
          <w:color w:val="000000"/>
          <w:lang w:val="en-US"/>
        </w:rPr>
        <w:t xml:space="preserve"> to</w:t>
      </w:r>
      <w:r w:rsidRPr="00A836F4">
        <w:rPr>
          <w:rFonts w:ascii="Franklin Gothic Medium" w:hAnsi="Franklin Gothic Medium" w:cstheme="minorHAnsi"/>
          <w:color w:val="000000"/>
          <w:lang w:val="en-US"/>
        </w:rPr>
        <w:t xml:space="preserve"> </w:t>
      </w:r>
      <w:hyperlink r:id="rId10" w:history="1">
        <w:r w:rsidR="0097479D" w:rsidRPr="00B16D2F">
          <w:rPr>
            <w:rStyle w:val="-"/>
            <w:rFonts w:ascii="Franklin Gothic Medium" w:hAnsi="Franklin Gothic Medium" w:cstheme="minorHAnsi"/>
            <w:lang w:val="en-US"/>
          </w:rPr>
          <w:t>ypahes@aade.gr</w:t>
        </w:r>
      </w:hyperlink>
      <w:r w:rsidRPr="00A836F4">
        <w:rPr>
          <w:rFonts w:ascii="Franklin Gothic Medium" w:hAnsi="Franklin Gothic Medium" w:cstheme="minorHAnsi"/>
          <w:color w:val="000000"/>
          <w:lang w:val="en-US"/>
        </w:rPr>
        <w:t>. Specifically, in the case of transactions using Payment Methods (EFT/POS), the transmitted Invoice Types are indicated accordingly in the file “Invoice Types Table A1_A2 – 1st Stage,” which is submitted at the initiation of the 1st Licensing Stage.</w:t>
      </w:r>
    </w:p>
    <w:p w14:paraId="59EDF89E" w14:textId="77777777" w:rsidR="00E04FAC" w:rsidRPr="00693AD8" w:rsidRDefault="00E04FAC" w:rsidP="006512CC">
      <w:pPr>
        <w:jc w:val="both"/>
        <w:rPr>
          <w:rFonts w:ascii="Franklin Gothic Medium" w:hAnsi="Franklin Gothic Medium" w:cstheme="minorHAnsi"/>
          <w:color w:val="000000"/>
          <w:u w:val="single"/>
          <w:lang w:val="en-US"/>
        </w:rPr>
      </w:pPr>
      <w:r w:rsidRPr="00A836F4">
        <w:rPr>
          <w:rFonts w:ascii="Franklin Gothic Medium" w:hAnsi="Franklin Gothic Medium" w:cstheme="minorHAnsi"/>
          <w:color w:val="000000"/>
          <w:u w:val="single"/>
          <w:lang w:val="en-US"/>
        </w:rPr>
        <w:t>2nd Stage</w:t>
      </w:r>
    </w:p>
    <w:p w14:paraId="0D46557E" w14:textId="3CC92AF0" w:rsidR="00E04FAC" w:rsidRPr="00E04FAC" w:rsidRDefault="00E04FAC" w:rsidP="007A2AB4">
      <w:pPr>
        <w:jc w:val="both"/>
        <w:rPr>
          <w:rFonts w:ascii="Franklin Gothic Medium" w:hAnsi="Franklin Gothic Medium" w:cstheme="minorHAnsi"/>
          <w:color w:val="000000"/>
          <w:lang w:val="en-US"/>
        </w:rPr>
      </w:pPr>
      <w:r w:rsidRPr="00E04FAC">
        <w:rPr>
          <w:rFonts w:ascii="Franklin Gothic Medium" w:hAnsi="Franklin Gothic Medium" w:cstheme="minorHAnsi"/>
          <w:color w:val="000000"/>
          <w:lang w:val="en-US"/>
        </w:rPr>
        <w:t xml:space="preserve">Following notification by the Candidate </w:t>
      </w:r>
      <w:r w:rsidR="00A533D8">
        <w:rPr>
          <w:rFonts w:ascii="Franklin Gothic Medium" w:hAnsi="Franklin Gothic Medium" w:cstheme="minorHAnsi"/>
          <w:color w:val="000000"/>
          <w:lang w:val="en-US"/>
        </w:rPr>
        <w:t>YPAHES</w:t>
      </w:r>
      <w:r w:rsidR="0097479D">
        <w:rPr>
          <w:rFonts w:ascii="Franklin Gothic Medium" w:hAnsi="Franklin Gothic Medium" w:cstheme="minorHAnsi"/>
          <w:color w:val="000000"/>
          <w:lang w:val="en-US"/>
        </w:rPr>
        <w:t>/EDISP</w:t>
      </w:r>
      <w:r w:rsidRPr="00E04FAC">
        <w:rPr>
          <w:rFonts w:ascii="Franklin Gothic Medium" w:hAnsi="Franklin Gothic Medium" w:cstheme="minorHAnsi"/>
          <w:color w:val="000000"/>
          <w:lang w:val="en-US"/>
        </w:rPr>
        <w:t xml:space="preserve"> Provider, the Committee schedules an official recorded videoconference, during which it gains access and carries out the necessary </w:t>
      </w:r>
      <w:r w:rsidR="0097479D">
        <w:rPr>
          <w:rFonts w:ascii="Franklin Gothic Medium" w:hAnsi="Franklin Gothic Medium" w:cstheme="minorHAnsi"/>
          <w:color w:val="000000"/>
          <w:lang w:val="en-US"/>
        </w:rPr>
        <w:t>review</w:t>
      </w:r>
      <w:r w:rsidRPr="00E04FAC">
        <w:rPr>
          <w:rFonts w:ascii="Franklin Gothic Medium" w:hAnsi="Franklin Gothic Medium" w:cstheme="minorHAnsi"/>
          <w:color w:val="000000"/>
          <w:lang w:val="en-US"/>
        </w:rPr>
        <w:t xml:space="preserve"> actions to document the suitability of the software pending approval.</w:t>
      </w:r>
    </w:p>
    <w:p w14:paraId="7DFEC9EF" w14:textId="77777777" w:rsidR="00E04FAC" w:rsidRPr="00101C51" w:rsidRDefault="00E04FAC" w:rsidP="006512CC">
      <w:pPr>
        <w:jc w:val="both"/>
        <w:rPr>
          <w:rFonts w:ascii="Franklin Gothic Medium" w:hAnsi="Franklin Gothic Medium" w:cstheme="minorHAnsi"/>
          <w:color w:val="000000"/>
          <w:u w:val="single"/>
          <w:lang w:val="en-US"/>
        </w:rPr>
      </w:pPr>
      <w:r w:rsidRPr="00101C51">
        <w:rPr>
          <w:rFonts w:ascii="Franklin Gothic Medium" w:hAnsi="Franklin Gothic Medium" w:cstheme="minorHAnsi"/>
          <w:color w:val="000000"/>
          <w:u w:val="single"/>
          <w:lang w:val="en-US"/>
        </w:rPr>
        <w:t>3rd Stage</w:t>
      </w:r>
    </w:p>
    <w:p w14:paraId="562BB438" w14:textId="4874BCDA" w:rsidR="002C79AE" w:rsidRDefault="00E04FAC" w:rsidP="00F24A34">
      <w:pPr>
        <w:rPr>
          <w:rFonts w:ascii="Franklin Gothic Medium" w:hAnsi="Franklin Gothic Medium" w:cstheme="minorHAnsi"/>
          <w:color w:val="000000"/>
          <w:lang w:val="en-US"/>
        </w:rPr>
      </w:pPr>
      <w:r w:rsidRPr="00101C51">
        <w:rPr>
          <w:rFonts w:ascii="Franklin Gothic Medium" w:hAnsi="Franklin Gothic Medium" w:cstheme="minorHAnsi"/>
          <w:color w:val="000000"/>
          <w:lang w:val="en-US"/>
        </w:rPr>
        <w:t xml:space="preserve">The Committee, </w:t>
      </w:r>
      <w:r w:rsidR="002752E2">
        <w:rPr>
          <w:rFonts w:ascii="Franklin Gothic Medium" w:hAnsi="Franklin Gothic Medium" w:cstheme="minorHAnsi"/>
          <w:color w:val="000000"/>
          <w:lang w:val="en-US"/>
        </w:rPr>
        <w:t>considering</w:t>
      </w:r>
      <w:r w:rsidRPr="00101C51">
        <w:rPr>
          <w:rFonts w:ascii="Franklin Gothic Medium" w:hAnsi="Franklin Gothic Medium" w:cstheme="minorHAnsi"/>
          <w:color w:val="000000"/>
          <w:lang w:val="en-US"/>
        </w:rPr>
        <w:t>:</w:t>
      </w:r>
      <w:r w:rsidRPr="00101C51">
        <w:rPr>
          <w:rFonts w:ascii="Franklin Gothic Medium" w:hAnsi="Franklin Gothic Medium" w:cstheme="minorHAnsi"/>
          <w:color w:val="000000"/>
          <w:lang w:val="en-US"/>
        </w:rPr>
        <w:br/>
        <w:t>A. The submitted</w:t>
      </w:r>
      <w:r w:rsidRPr="00E04FAC">
        <w:rPr>
          <w:rFonts w:ascii="Franklin Gothic Medium" w:hAnsi="Franklin Gothic Medium" w:cstheme="minorHAnsi"/>
          <w:color w:val="000000"/>
          <w:lang w:val="en-US"/>
        </w:rPr>
        <w:t xml:space="preserve"> supporting documentation of the submitted </w:t>
      </w:r>
      <w:r w:rsidR="00A533D8">
        <w:rPr>
          <w:rFonts w:ascii="Franklin Gothic Medium" w:hAnsi="Franklin Gothic Medium" w:cstheme="minorHAnsi"/>
          <w:color w:val="000000"/>
          <w:lang w:val="en-US"/>
        </w:rPr>
        <w:t>YPAHES</w:t>
      </w:r>
      <w:r w:rsidR="002C79AE">
        <w:rPr>
          <w:rFonts w:ascii="Franklin Gothic Medium" w:hAnsi="Franklin Gothic Medium" w:cstheme="minorHAnsi"/>
          <w:color w:val="000000"/>
          <w:lang w:val="en-US"/>
        </w:rPr>
        <w:t>/EDISP</w:t>
      </w:r>
      <w:r w:rsidRPr="00E04FAC">
        <w:rPr>
          <w:rFonts w:ascii="Franklin Gothic Medium" w:hAnsi="Franklin Gothic Medium" w:cstheme="minorHAnsi"/>
          <w:color w:val="000000"/>
          <w:lang w:val="en-US"/>
        </w:rPr>
        <w:t xml:space="preserve"> Suitability File</w:t>
      </w:r>
    </w:p>
    <w:p w14:paraId="443270B4" w14:textId="77777777" w:rsidR="002C79AE" w:rsidRDefault="00E04FAC" w:rsidP="00F24A34">
      <w:pPr>
        <w:rPr>
          <w:rFonts w:ascii="Franklin Gothic Medium" w:hAnsi="Franklin Gothic Medium" w:cstheme="minorHAnsi"/>
          <w:lang w:val="en-US"/>
        </w:rPr>
      </w:pPr>
      <w:r w:rsidRPr="00E04FAC">
        <w:rPr>
          <w:rFonts w:ascii="Franklin Gothic Medium" w:hAnsi="Franklin Gothic Medium" w:cstheme="minorHAnsi"/>
          <w:color w:val="000000"/>
          <w:lang w:val="en-US"/>
        </w:rPr>
        <w:t xml:space="preserve">B. The data transmission results of </w:t>
      </w:r>
      <w:r w:rsidRPr="00101C51">
        <w:rPr>
          <w:rFonts w:ascii="Franklin Gothic Medium" w:hAnsi="Franklin Gothic Medium" w:cstheme="minorHAnsi"/>
          <w:lang w:val="en-US"/>
        </w:rPr>
        <w:t xml:space="preserve">Invoice Types </w:t>
      </w:r>
      <w:r w:rsidR="002C79AE">
        <w:rPr>
          <w:rFonts w:ascii="Franklin Gothic Medium" w:hAnsi="Franklin Gothic Medium" w:cstheme="minorHAnsi"/>
          <w:lang w:val="en-US"/>
        </w:rPr>
        <w:t>1.1 to 11.5 (</w:t>
      </w:r>
      <w:r w:rsidRPr="00101C51">
        <w:rPr>
          <w:rFonts w:ascii="Franklin Gothic Medium" w:hAnsi="Franklin Gothic Medium" w:cstheme="minorHAnsi"/>
          <w:lang w:val="en-US"/>
        </w:rPr>
        <w:t>A1, A2</w:t>
      </w:r>
      <w:r w:rsidR="002C79AE">
        <w:rPr>
          <w:rFonts w:ascii="Franklin Gothic Medium" w:hAnsi="Franklin Gothic Medium" w:cstheme="minorHAnsi"/>
          <w:lang w:val="en-US"/>
        </w:rPr>
        <w:t>)</w:t>
      </w:r>
      <w:r w:rsidRPr="00101C51">
        <w:rPr>
          <w:rFonts w:ascii="Franklin Gothic Medium" w:hAnsi="Franklin Gothic Medium" w:cstheme="minorHAnsi"/>
          <w:lang w:val="en-US"/>
        </w:rPr>
        <w:t xml:space="preserve"> via the </w:t>
      </w:r>
      <w:proofErr w:type="spellStart"/>
      <w:r w:rsidRPr="00101C51">
        <w:rPr>
          <w:rFonts w:ascii="Franklin Gothic Medium" w:hAnsi="Franklin Gothic Medium" w:cstheme="minorHAnsi"/>
          <w:lang w:val="en-US"/>
        </w:rPr>
        <w:t>myDATA</w:t>
      </w:r>
      <w:proofErr w:type="spellEnd"/>
      <w:r w:rsidRPr="00101C51">
        <w:rPr>
          <w:rFonts w:ascii="Franklin Gothic Medium" w:hAnsi="Franklin Gothic Medium" w:cstheme="minorHAnsi"/>
          <w:lang w:val="en-US"/>
        </w:rPr>
        <w:t xml:space="preserve"> interface </w:t>
      </w:r>
      <w:r w:rsidRPr="00F10BD8">
        <w:rPr>
          <w:rFonts w:ascii="Franklin Gothic Medium" w:hAnsi="Franklin Gothic Medium" w:cstheme="minorHAnsi"/>
          <w:lang w:val="en-US"/>
        </w:rPr>
        <w:t>(</w:t>
      </w:r>
      <w:r w:rsidR="002C79AE" w:rsidRPr="00F10BD8">
        <w:rPr>
          <w:rFonts w:ascii="Franklin Gothic Medium" w:hAnsi="Franklin Gothic Medium" w:cstheme="minorHAnsi"/>
          <w:lang w:val="en-US"/>
        </w:rPr>
        <w:t>IAPR</w:t>
      </w:r>
      <w:r w:rsidRPr="00101C51">
        <w:rPr>
          <w:rFonts w:ascii="Franklin Gothic Medium" w:hAnsi="Franklin Gothic Medium" w:cstheme="minorHAnsi"/>
          <w:lang w:val="en-US"/>
        </w:rPr>
        <w:t xml:space="preserve"> REST API)</w:t>
      </w:r>
    </w:p>
    <w:p w14:paraId="6DA211A8" w14:textId="6EDCE6B7" w:rsidR="00E04FAC" w:rsidRPr="00E04FAC" w:rsidRDefault="00E04FAC" w:rsidP="00F24A34">
      <w:pPr>
        <w:rPr>
          <w:rFonts w:ascii="Franklin Gothic Medium" w:hAnsi="Franklin Gothic Medium" w:cstheme="minorHAnsi"/>
          <w:color w:val="000000"/>
          <w:lang w:val="en-US"/>
        </w:rPr>
      </w:pPr>
      <w:r w:rsidRPr="00101C51">
        <w:rPr>
          <w:rFonts w:ascii="Franklin Gothic Medium" w:hAnsi="Franklin Gothic Medium" w:cstheme="minorHAnsi"/>
          <w:lang w:val="en-US"/>
        </w:rPr>
        <w:t xml:space="preserve">C. The results </w:t>
      </w:r>
      <w:r w:rsidR="002C79AE">
        <w:rPr>
          <w:rFonts w:ascii="Franklin Gothic Medium" w:hAnsi="Franklin Gothic Medium" w:cstheme="minorHAnsi"/>
          <w:lang w:val="en-US"/>
        </w:rPr>
        <w:t>derived from the</w:t>
      </w:r>
      <w:r w:rsidRPr="00101C51">
        <w:rPr>
          <w:rFonts w:ascii="Franklin Gothic Medium" w:hAnsi="Franklin Gothic Medium" w:cstheme="minorHAnsi"/>
          <w:lang w:val="en-US"/>
        </w:rPr>
        <w:t xml:space="preserve"> access to the </w:t>
      </w:r>
      <w:r w:rsidR="00A533D8">
        <w:rPr>
          <w:rFonts w:ascii="Franklin Gothic Medium" w:hAnsi="Franklin Gothic Medium" w:cstheme="minorHAnsi"/>
          <w:lang w:val="en-US"/>
        </w:rPr>
        <w:t>YPAHES</w:t>
      </w:r>
      <w:r w:rsidR="002C79AE">
        <w:rPr>
          <w:rFonts w:ascii="Franklin Gothic Medium" w:hAnsi="Franklin Gothic Medium" w:cstheme="minorHAnsi"/>
          <w:lang w:val="en-US"/>
        </w:rPr>
        <w:t>/EDISP</w:t>
      </w:r>
      <w:r w:rsidRPr="00101C51">
        <w:rPr>
          <w:rFonts w:ascii="Franklin Gothic Medium" w:hAnsi="Franklin Gothic Medium" w:cstheme="minorHAnsi"/>
          <w:lang w:val="en-US"/>
        </w:rPr>
        <w:t xml:space="preserve"> software</w:t>
      </w:r>
      <w:r w:rsidRPr="00E04FAC">
        <w:rPr>
          <w:rFonts w:ascii="Franklin Gothic Medium" w:hAnsi="Franklin Gothic Medium" w:cstheme="minorHAnsi"/>
          <w:color w:val="000000"/>
          <w:lang w:val="en-US"/>
        </w:rPr>
        <w:t xml:space="preserve"> pending approval, based on the obligations and requirements of the Compliance</w:t>
      </w:r>
      <w:r w:rsidR="00500A7C">
        <w:rPr>
          <w:rFonts w:ascii="Franklin Gothic Medium" w:hAnsi="Franklin Gothic Medium" w:cstheme="minorHAnsi"/>
          <w:color w:val="000000"/>
          <w:lang w:val="en-US"/>
        </w:rPr>
        <w:t xml:space="preserve"> </w:t>
      </w:r>
      <w:r w:rsidRPr="00E04FAC">
        <w:rPr>
          <w:rFonts w:ascii="Franklin Gothic Medium" w:hAnsi="Franklin Gothic Medium" w:cstheme="minorHAnsi"/>
          <w:color w:val="000000"/>
          <w:lang w:val="en-US"/>
        </w:rPr>
        <w:t>Documentation Tables</w:t>
      </w:r>
    </w:p>
    <w:p w14:paraId="7D8C58F5" w14:textId="67C5B35E" w:rsidR="00E04FAC" w:rsidRPr="00E04FAC" w:rsidRDefault="00E04FAC" w:rsidP="00E04FAC">
      <w:pPr>
        <w:jc w:val="both"/>
        <w:rPr>
          <w:rFonts w:ascii="Franklin Gothic Medium" w:hAnsi="Franklin Gothic Medium" w:cstheme="minorHAnsi"/>
          <w:color w:val="000000"/>
          <w:lang w:val="en-US"/>
        </w:rPr>
      </w:pPr>
      <w:r w:rsidRPr="00E04FAC">
        <w:rPr>
          <w:rFonts w:ascii="Franklin Gothic Medium" w:hAnsi="Franklin Gothic Medium" w:cstheme="minorHAnsi"/>
          <w:color w:val="000000"/>
          <w:lang w:val="en-US"/>
        </w:rPr>
        <w:t xml:space="preserve">schedules a regular meeting for each Candidate </w:t>
      </w:r>
      <w:r w:rsidR="00A533D8">
        <w:rPr>
          <w:rFonts w:ascii="Franklin Gothic Medium" w:hAnsi="Franklin Gothic Medium" w:cstheme="minorHAnsi"/>
          <w:color w:val="000000"/>
          <w:lang w:val="en-US"/>
        </w:rPr>
        <w:t>YPAHES</w:t>
      </w:r>
      <w:r w:rsidR="002C79AE">
        <w:rPr>
          <w:rFonts w:ascii="Franklin Gothic Medium" w:hAnsi="Franklin Gothic Medium" w:cstheme="minorHAnsi"/>
          <w:color w:val="000000"/>
          <w:lang w:val="en-US"/>
        </w:rPr>
        <w:t>/EDISP</w:t>
      </w:r>
      <w:r w:rsidRPr="00E04FAC">
        <w:rPr>
          <w:rFonts w:ascii="Franklin Gothic Medium" w:hAnsi="Franklin Gothic Medium" w:cstheme="minorHAnsi"/>
          <w:color w:val="000000"/>
          <w:lang w:val="en-US"/>
        </w:rPr>
        <w:t xml:space="preserve"> Provider, conducts a detailed review of the entire </w:t>
      </w:r>
      <w:r w:rsidR="00A533D8">
        <w:rPr>
          <w:rFonts w:ascii="Franklin Gothic Medium" w:hAnsi="Franklin Gothic Medium" w:cstheme="minorHAnsi"/>
          <w:color w:val="000000"/>
          <w:lang w:val="en-US"/>
        </w:rPr>
        <w:t>YPAHES</w:t>
      </w:r>
      <w:r w:rsidR="002C79AE">
        <w:rPr>
          <w:rFonts w:ascii="Franklin Gothic Medium" w:hAnsi="Franklin Gothic Medium" w:cstheme="minorHAnsi"/>
          <w:color w:val="000000"/>
          <w:lang w:val="en-US"/>
        </w:rPr>
        <w:t>/EDISP</w:t>
      </w:r>
      <w:r w:rsidRPr="00E04FAC">
        <w:rPr>
          <w:rFonts w:ascii="Franklin Gothic Medium" w:hAnsi="Franklin Gothic Medium" w:cstheme="minorHAnsi"/>
          <w:color w:val="000000"/>
          <w:lang w:val="en-US"/>
        </w:rPr>
        <w:t xml:space="preserve"> Suitability File, and renders a decision on the approval or rejection of the electronic invoicing software.</w:t>
      </w:r>
    </w:p>
    <w:p w14:paraId="1EBCB52C" w14:textId="099D20DB" w:rsidR="0095123C" w:rsidRPr="00234392" w:rsidRDefault="00E04FAC" w:rsidP="00214C15">
      <w:pPr>
        <w:rPr>
          <w:rFonts w:ascii="Franklin Gothic Medium" w:hAnsi="Franklin Gothic Medium" w:cstheme="minorHAnsi"/>
          <w:color w:val="000000"/>
          <w:lang w:val="en-US"/>
        </w:rPr>
      </w:pPr>
      <w:r w:rsidRPr="00E04FAC">
        <w:rPr>
          <w:rFonts w:ascii="Franklin Gothic Medium" w:hAnsi="Franklin Gothic Medium" w:cstheme="minorHAnsi"/>
          <w:color w:val="000000"/>
          <w:lang w:val="en-US"/>
        </w:rPr>
        <w:t xml:space="preserve">In the event that pending issues are identified, the Committee requests further clarifications from the Candidate </w:t>
      </w:r>
      <w:r w:rsidR="00A533D8">
        <w:rPr>
          <w:rFonts w:ascii="Franklin Gothic Medium" w:hAnsi="Franklin Gothic Medium" w:cstheme="minorHAnsi"/>
          <w:color w:val="000000"/>
          <w:lang w:val="en-US"/>
        </w:rPr>
        <w:t>YPAHES</w:t>
      </w:r>
      <w:r w:rsidR="002C79AE">
        <w:rPr>
          <w:rFonts w:ascii="Franklin Gothic Medium" w:hAnsi="Franklin Gothic Medium" w:cstheme="minorHAnsi"/>
          <w:color w:val="000000"/>
          <w:lang w:val="en-US"/>
        </w:rPr>
        <w:t>/EDISP</w:t>
      </w:r>
      <w:r w:rsidRPr="00E04FAC">
        <w:rPr>
          <w:rFonts w:ascii="Franklin Gothic Medium" w:hAnsi="Franklin Gothic Medium" w:cstheme="minorHAnsi"/>
          <w:color w:val="000000"/>
          <w:lang w:val="en-US"/>
        </w:rPr>
        <w:t xml:space="preserve"> Provider, and the licensing process is temporarily suspended until their final </w:t>
      </w:r>
      <w:r w:rsidR="002C79AE">
        <w:rPr>
          <w:rFonts w:ascii="Franklin Gothic Medium" w:hAnsi="Franklin Gothic Medium" w:cstheme="minorHAnsi"/>
          <w:color w:val="000000"/>
          <w:lang w:val="en-US"/>
        </w:rPr>
        <w:t>settlement</w:t>
      </w:r>
      <w:r w:rsidRPr="00E04FAC">
        <w:rPr>
          <w:rFonts w:ascii="Franklin Gothic Medium" w:hAnsi="Franklin Gothic Medium" w:cstheme="minorHAnsi"/>
          <w:color w:val="000000"/>
          <w:lang w:val="en-US"/>
        </w:rPr>
        <w:t>.</w:t>
      </w:r>
    </w:p>
    <w:p w14:paraId="32DA6F13" w14:textId="77777777" w:rsidR="00167075" w:rsidRPr="00234392" w:rsidRDefault="00167075" w:rsidP="00214C15">
      <w:pPr>
        <w:rPr>
          <w:rFonts w:ascii="Franklin Gothic Medium" w:hAnsi="Franklin Gothic Medium"/>
          <w:b/>
          <w:bCs/>
          <w:color w:val="1F497D" w:themeColor="text2"/>
          <w:sz w:val="36"/>
          <w:szCs w:val="23"/>
          <w:lang w:val="en-US"/>
        </w:rPr>
      </w:pPr>
    </w:p>
    <w:p w14:paraId="487F0976" w14:textId="530F7289" w:rsidR="00214C15" w:rsidRPr="00EB2670" w:rsidRDefault="00E04FAC" w:rsidP="00214C15">
      <w:pPr>
        <w:rPr>
          <w:rFonts w:ascii="Franklin Gothic Medium" w:hAnsi="Franklin Gothic Medium"/>
          <w:b/>
          <w:bCs/>
          <w:color w:val="1F497D" w:themeColor="text2"/>
          <w:sz w:val="36"/>
          <w:szCs w:val="23"/>
        </w:rPr>
      </w:pPr>
      <w:proofErr w:type="spellStart"/>
      <w:r w:rsidRPr="00E04FAC">
        <w:rPr>
          <w:rFonts w:ascii="Franklin Gothic Medium" w:hAnsi="Franklin Gothic Medium"/>
          <w:b/>
          <w:bCs/>
          <w:color w:val="1F497D" w:themeColor="text2"/>
          <w:sz w:val="36"/>
          <w:szCs w:val="23"/>
        </w:rPr>
        <w:t>Submission</w:t>
      </w:r>
      <w:proofErr w:type="spellEnd"/>
      <w:r w:rsidRPr="00E04FAC">
        <w:rPr>
          <w:rFonts w:ascii="Franklin Gothic Medium" w:hAnsi="Franklin Gothic Medium"/>
          <w:b/>
          <w:bCs/>
          <w:color w:val="1F497D" w:themeColor="text2"/>
          <w:sz w:val="36"/>
          <w:szCs w:val="23"/>
        </w:rPr>
        <w:t xml:space="preserve"> </w:t>
      </w:r>
      <w:proofErr w:type="spellStart"/>
      <w:r w:rsidRPr="00E04FAC">
        <w:rPr>
          <w:rFonts w:ascii="Franklin Gothic Medium" w:hAnsi="Franklin Gothic Medium"/>
          <w:b/>
          <w:bCs/>
          <w:color w:val="1F497D" w:themeColor="text2"/>
          <w:sz w:val="36"/>
          <w:szCs w:val="23"/>
        </w:rPr>
        <w:t>Method</w:t>
      </w:r>
      <w:proofErr w:type="spellEnd"/>
    </w:p>
    <w:tbl>
      <w:tblPr>
        <w:tblStyle w:val="a6"/>
        <w:tblW w:w="8755" w:type="dxa"/>
        <w:tblLook w:val="04A0" w:firstRow="1" w:lastRow="0" w:firstColumn="1" w:lastColumn="0" w:noHBand="0" w:noVBand="1"/>
      </w:tblPr>
      <w:tblGrid>
        <w:gridCol w:w="7763"/>
        <w:gridCol w:w="992"/>
      </w:tblGrid>
      <w:tr w:rsidR="00214C15" w:rsidRPr="00A240A3" w14:paraId="4BBA21CB" w14:textId="77777777" w:rsidTr="00597ED4">
        <w:tc>
          <w:tcPr>
            <w:tcW w:w="7763" w:type="dxa"/>
          </w:tcPr>
          <w:p w14:paraId="4C9AE1B6" w14:textId="1DD30520" w:rsidR="00214C15" w:rsidRPr="00E04FAC" w:rsidRDefault="00E04FAC" w:rsidP="00C961FF">
            <w:pPr>
              <w:rPr>
                <w:rFonts w:ascii="Franklin Gothic Medium" w:hAnsi="Franklin Gothic Medium"/>
                <w:b/>
                <w:bCs/>
                <w:color w:val="000000" w:themeColor="text1"/>
                <w:sz w:val="28"/>
                <w:szCs w:val="23"/>
                <w:lang w:val="en-US"/>
              </w:rPr>
            </w:pPr>
            <w:r w:rsidRPr="00E04FAC">
              <w:rPr>
                <w:rFonts w:ascii="Franklin Gothic Medium" w:hAnsi="Franklin Gothic Medium"/>
                <w:b/>
                <w:bCs/>
                <w:color w:val="000000" w:themeColor="text1"/>
                <w:sz w:val="28"/>
                <w:szCs w:val="23"/>
                <w:lang w:val="en-US"/>
              </w:rPr>
              <w:t>Electronically</w:t>
            </w:r>
            <w:r w:rsidR="002C79AE">
              <w:rPr>
                <w:rFonts w:ascii="Franklin Gothic Medium" w:hAnsi="Franklin Gothic Medium"/>
                <w:b/>
                <w:bCs/>
                <w:color w:val="000000" w:themeColor="text1"/>
                <w:sz w:val="28"/>
                <w:szCs w:val="23"/>
                <w:lang w:val="en-US"/>
              </w:rPr>
              <w:t xml:space="preserve"> </w:t>
            </w:r>
            <w:r w:rsidRPr="00E04FAC">
              <w:rPr>
                <w:rFonts w:ascii="Franklin Gothic Medium" w:hAnsi="Franklin Gothic Medium"/>
                <w:b/>
                <w:bCs/>
                <w:color w:val="000000" w:themeColor="text1"/>
                <w:sz w:val="28"/>
                <w:szCs w:val="23"/>
                <w:lang w:val="en-US"/>
              </w:rPr>
              <w:t>digitally signed format</w:t>
            </w:r>
          </w:p>
        </w:tc>
        <w:tc>
          <w:tcPr>
            <w:tcW w:w="992" w:type="dxa"/>
          </w:tcPr>
          <w:p w14:paraId="6CD1E7E5" w14:textId="77777777" w:rsidR="00214C15" w:rsidRPr="00E04FAC" w:rsidRDefault="00214C15" w:rsidP="00FA1D74">
            <w:pPr>
              <w:jc w:val="center"/>
              <w:rPr>
                <w:rFonts w:ascii="Franklin Gothic Medium" w:hAnsi="Franklin Gothic Medium"/>
                <w:color w:val="1F497D" w:themeColor="text2"/>
                <w:sz w:val="36"/>
                <w:lang w:val="en-US"/>
              </w:rPr>
            </w:pPr>
          </w:p>
        </w:tc>
      </w:tr>
    </w:tbl>
    <w:p w14:paraId="4074473A" w14:textId="5CC1D390" w:rsidR="00180B96" w:rsidRPr="00180B96" w:rsidRDefault="00180B96" w:rsidP="00180B96">
      <w:pPr>
        <w:tabs>
          <w:tab w:val="left" w:pos="3192"/>
        </w:tabs>
        <w:rPr>
          <w:rFonts w:ascii="Franklin Gothic Medium" w:hAnsi="Franklin Gothic Medium"/>
          <w:sz w:val="36"/>
          <w:szCs w:val="23"/>
          <w:lang w:val="en-US"/>
        </w:rPr>
      </w:pPr>
    </w:p>
    <w:sectPr w:rsidR="00180B96" w:rsidRPr="00180B96" w:rsidSect="006C12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765E8" w14:textId="77777777" w:rsidR="004E2238" w:rsidRDefault="004E2238" w:rsidP="00E272D9">
      <w:pPr>
        <w:spacing w:after="0" w:line="240" w:lineRule="auto"/>
      </w:pPr>
      <w:r>
        <w:separator/>
      </w:r>
    </w:p>
  </w:endnote>
  <w:endnote w:type="continuationSeparator" w:id="0">
    <w:p w14:paraId="7F45F711" w14:textId="77777777" w:rsidR="004E2238" w:rsidRDefault="004E2238" w:rsidP="00E2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66455"/>
      <w:docPartObj>
        <w:docPartGallery w:val="Page Numbers (Bottom of Page)"/>
        <w:docPartUnique/>
      </w:docPartObj>
    </w:sdtPr>
    <w:sdtEndPr/>
    <w:sdtContent>
      <w:sdt>
        <w:sdtPr>
          <w:id w:val="-1669238322"/>
          <w:docPartObj>
            <w:docPartGallery w:val="Page Numbers (Top of Page)"/>
            <w:docPartUnique/>
          </w:docPartObj>
        </w:sdtPr>
        <w:sdtEndPr/>
        <w:sdtContent>
          <w:p w14:paraId="41B47813" w14:textId="1E3C1931" w:rsidR="004E2238" w:rsidRPr="00E63AB9" w:rsidRDefault="004E2238" w:rsidP="00086702">
            <w:pPr>
              <w:pStyle w:val="a4"/>
              <w:jc w:val="center"/>
              <w:rPr>
                <w:sz w:val="8"/>
                <w:lang w:val="en-US"/>
              </w:rPr>
            </w:pPr>
            <w:r>
              <w:rPr>
                <w:lang w:val="en-US"/>
              </w:rPr>
              <w:t>YPAHES/EDISP</w:t>
            </w:r>
            <w:r w:rsidRPr="00E63AB9">
              <w:rPr>
                <w:lang w:val="en-US"/>
              </w:rPr>
              <w:t xml:space="preserve"> Compliance </w:t>
            </w:r>
            <w:r>
              <w:rPr>
                <w:lang w:val="en-US"/>
              </w:rPr>
              <w:t xml:space="preserve">_ </w:t>
            </w:r>
            <w:r w:rsidRPr="00E63AB9">
              <w:rPr>
                <w:lang w:val="en-US"/>
              </w:rPr>
              <w:t>Documentation Tables</w:t>
            </w:r>
          </w:p>
          <w:p w14:paraId="436F36F6" w14:textId="47587B20" w:rsidR="004E2238" w:rsidRPr="00E63AB9" w:rsidRDefault="004E2238">
            <w:pPr>
              <w:pStyle w:val="a5"/>
              <w:jc w:val="center"/>
              <w:rPr>
                <w:lang w:val="en-US"/>
              </w:rPr>
            </w:pPr>
            <w:r>
              <w:rPr>
                <w:lang w:val="en-US"/>
              </w:rPr>
              <w:t>Page</w:t>
            </w:r>
            <w:r w:rsidRPr="00E63AB9">
              <w:rPr>
                <w:lang w:val="en-US"/>
              </w:rPr>
              <w:t xml:space="preserve"> </w:t>
            </w:r>
            <w:r>
              <w:rPr>
                <w:b/>
                <w:bCs/>
                <w:sz w:val="24"/>
                <w:szCs w:val="24"/>
              </w:rPr>
              <w:fldChar w:fldCharType="begin"/>
            </w:r>
            <w:r w:rsidRPr="00E63AB9">
              <w:rPr>
                <w:b/>
                <w:bCs/>
                <w:lang w:val="en-US"/>
              </w:rPr>
              <w:instrText>PAGE</w:instrText>
            </w:r>
            <w:r>
              <w:rPr>
                <w:b/>
                <w:bCs/>
                <w:sz w:val="24"/>
                <w:szCs w:val="24"/>
              </w:rPr>
              <w:fldChar w:fldCharType="separate"/>
            </w:r>
            <w:r w:rsidRPr="00E63AB9">
              <w:rPr>
                <w:b/>
                <w:bCs/>
                <w:noProof/>
                <w:lang w:val="en-US"/>
              </w:rPr>
              <w:t>4</w:t>
            </w:r>
            <w:r>
              <w:rPr>
                <w:b/>
                <w:bCs/>
                <w:sz w:val="24"/>
                <w:szCs w:val="24"/>
              </w:rPr>
              <w:fldChar w:fldCharType="end"/>
            </w:r>
            <w:r w:rsidRPr="00E63AB9">
              <w:rPr>
                <w:lang w:val="en-US"/>
              </w:rPr>
              <w:t xml:space="preserve"> </w:t>
            </w:r>
            <w:r>
              <w:rPr>
                <w:lang w:val="en-US"/>
              </w:rPr>
              <w:t>of</w:t>
            </w:r>
            <w:r w:rsidRPr="00E63AB9">
              <w:rPr>
                <w:lang w:val="en-US"/>
              </w:rPr>
              <w:t xml:space="preserve"> </w:t>
            </w:r>
            <w:r>
              <w:rPr>
                <w:b/>
                <w:bCs/>
                <w:sz w:val="24"/>
                <w:szCs w:val="24"/>
              </w:rPr>
              <w:fldChar w:fldCharType="begin"/>
            </w:r>
            <w:r w:rsidRPr="00E63AB9">
              <w:rPr>
                <w:b/>
                <w:bCs/>
                <w:lang w:val="en-US"/>
              </w:rPr>
              <w:instrText>NUMPAGES</w:instrText>
            </w:r>
            <w:r>
              <w:rPr>
                <w:b/>
                <w:bCs/>
                <w:sz w:val="24"/>
                <w:szCs w:val="24"/>
              </w:rPr>
              <w:fldChar w:fldCharType="separate"/>
            </w:r>
            <w:r w:rsidRPr="00E63AB9">
              <w:rPr>
                <w:b/>
                <w:bCs/>
                <w:noProof/>
                <w:lang w:val="en-US"/>
              </w:rPr>
              <w:t>14</w:t>
            </w:r>
            <w:r>
              <w:rPr>
                <w:b/>
                <w:bCs/>
                <w:sz w:val="24"/>
                <w:szCs w:val="24"/>
              </w:rPr>
              <w:fldChar w:fldCharType="end"/>
            </w:r>
          </w:p>
        </w:sdtContent>
      </w:sdt>
    </w:sdtContent>
  </w:sdt>
  <w:p w14:paraId="1C9C4ED7" w14:textId="77777777" w:rsidR="004E2238" w:rsidRPr="00E63AB9" w:rsidRDefault="004E22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B2624" w14:textId="77777777" w:rsidR="004E2238" w:rsidRDefault="004E2238" w:rsidP="00E272D9">
      <w:pPr>
        <w:spacing w:after="0" w:line="240" w:lineRule="auto"/>
      </w:pPr>
      <w:r>
        <w:separator/>
      </w:r>
    </w:p>
  </w:footnote>
  <w:footnote w:type="continuationSeparator" w:id="0">
    <w:p w14:paraId="397AC12E" w14:textId="77777777" w:rsidR="004E2238" w:rsidRDefault="004E2238" w:rsidP="00E2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07F81"/>
    <w:multiLevelType w:val="hybridMultilevel"/>
    <w:tmpl w:val="88942A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214D09"/>
    <w:multiLevelType w:val="hybridMultilevel"/>
    <w:tmpl w:val="092C16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32F6DE1"/>
    <w:multiLevelType w:val="hybridMultilevel"/>
    <w:tmpl w:val="1E4A6C6A"/>
    <w:lvl w:ilvl="0" w:tplc="ABF8DDA2">
      <w:start w:val="1"/>
      <w:numFmt w:val="decimal"/>
      <w:lvlText w:val="%1."/>
      <w:lvlJc w:val="left"/>
      <w:pPr>
        <w:ind w:left="720" w:hanging="360"/>
      </w:pPr>
      <w:rPr>
        <w:rFonts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5F5DC7"/>
    <w:multiLevelType w:val="hybridMultilevel"/>
    <w:tmpl w:val="860E6C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40706DF"/>
    <w:multiLevelType w:val="hybridMultilevel"/>
    <w:tmpl w:val="6D5600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50C1156"/>
    <w:multiLevelType w:val="hybridMultilevel"/>
    <w:tmpl w:val="64BCF922"/>
    <w:lvl w:ilvl="0" w:tplc="3476E17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6"/>
    <w:rsid w:val="00003964"/>
    <w:rsid w:val="0001783E"/>
    <w:rsid w:val="00026408"/>
    <w:rsid w:val="00032372"/>
    <w:rsid w:val="000439BF"/>
    <w:rsid w:val="000632D5"/>
    <w:rsid w:val="00083E42"/>
    <w:rsid w:val="00086702"/>
    <w:rsid w:val="00092779"/>
    <w:rsid w:val="00093E69"/>
    <w:rsid w:val="00094175"/>
    <w:rsid w:val="00097DA2"/>
    <w:rsid w:val="000A25ED"/>
    <w:rsid w:val="000B4886"/>
    <w:rsid w:val="000B66D0"/>
    <w:rsid w:val="000B7815"/>
    <w:rsid w:val="000E6F2E"/>
    <w:rsid w:val="00101C51"/>
    <w:rsid w:val="00104E85"/>
    <w:rsid w:val="00110421"/>
    <w:rsid w:val="00112784"/>
    <w:rsid w:val="001301BB"/>
    <w:rsid w:val="001362FD"/>
    <w:rsid w:val="00137B2A"/>
    <w:rsid w:val="001541D6"/>
    <w:rsid w:val="00154324"/>
    <w:rsid w:val="001547A3"/>
    <w:rsid w:val="00161521"/>
    <w:rsid w:val="00167075"/>
    <w:rsid w:val="00180B96"/>
    <w:rsid w:val="00193964"/>
    <w:rsid w:val="00195EBC"/>
    <w:rsid w:val="001A0B8A"/>
    <w:rsid w:val="001B3B62"/>
    <w:rsid w:val="001C256F"/>
    <w:rsid w:val="001D0C09"/>
    <w:rsid w:val="001D17DA"/>
    <w:rsid w:val="001D57E9"/>
    <w:rsid w:val="001E4556"/>
    <w:rsid w:val="002147A5"/>
    <w:rsid w:val="00214C15"/>
    <w:rsid w:val="00217D01"/>
    <w:rsid w:val="00232F3F"/>
    <w:rsid w:val="00234392"/>
    <w:rsid w:val="002509AF"/>
    <w:rsid w:val="002601F8"/>
    <w:rsid w:val="002752E2"/>
    <w:rsid w:val="00284F92"/>
    <w:rsid w:val="0028687A"/>
    <w:rsid w:val="002915E2"/>
    <w:rsid w:val="002935A6"/>
    <w:rsid w:val="00296D58"/>
    <w:rsid w:val="002A2133"/>
    <w:rsid w:val="002B1C85"/>
    <w:rsid w:val="002C3FB7"/>
    <w:rsid w:val="002C79AE"/>
    <w:rsid w:val="002C7E0C"/>
    <w:rsid w:val="002D3E0B"/>
    <w:rsid w:val="002D46B2"/>
    <w:rsid w:val="002D740B"/>
    <w:rsid w:val="002F5975"/>
    <w:rsid w:val="002F677A"/>
    <w:rsid w:val="00306172"/>
    <w:rsid w:val="003364D5"/>
    <w:rsid w:val="003379B9"/>
    <w:rsid w:val="00345587"/>
    <w:rsid w:val="0036186F"/>
    <w:rsid w:val="003701FD"/>
    <w:rsid w:val="00376BC9"/>
    <w:rsid w:val="00396593"/>
    <w:rsid w:val="003B39D5"/>
    <w:rsid w:val="003C6ECB"/>
    <w:rsid w:val="003D2331"/>
    <w:rsid w:val="003D7745"/>
    <w:rsid w:val="003E0DC3"/>
    <w:rsid w:val="003E72E9"/>
    <w:rsid w:val="003F3812"/>
    <w:rsid w:val="0040003E"/>
    <w:rsid w:val="00416308"/>
    <w:rsid w:val="00431A7D"/>
    <w:rsid w:val="00434554"/>
    <w:rsid w:val="00465C5B"/>
    <w:rsid w:val="00492284"/>
    <w:rsid w:val="004A2D1D"/>
    <w:rsid w:val="004B2A25"/>
    <w:rsid w:val="004E2238"/>
    <w:rsid w:val="004F0A16"/>
    <w:rsid w:val="004F1192"/>
    <w:rsid w:val="004F2749"/>
    <w:rsid w:val="004F4CB8"/>
    <w:rsid w:val="00500A7C"/>
    <w:rsid w:val="0050722B"/>
    <w:rsid w:val="005102FA"/>
    <w:rsid w:val="00511E77"/>
    <w:rsid w:val="00522C81"/>
    <w:rsid w:val="005274FF"/>
    <w:rsid w:val="005334F7"/>
    <w:rsid w:val="00533A60"/>
    <w:rsid w:val="00534C6C"/>
    <w:rsid w:val="00545377"/>
    <w:rsid w:val="00557276"/>
    <w:rsid w:val="005607B2"/>
    <w:rsid w:val="0059618F"/>
    <w:rsid w:val="00597ED4"/>
    <w:rsid w:val="005B3765"/>
    <w:rsid w:val="005D229A"/>
    <w:rsid w:val="005E1D82"/>
    <w:rsid w:val="005F3852"/>
    <w:rsid w:val="005F6694"/>
    <w:rsid w:val="00602217"/>
    <w:rsid w:val="0061111D"/>
    <w:rsid w:val="006120F9"/>
    <w:rsid w:val="006321BF"/>
    <w:rsid w:val="00650682"/>
    <w:rsid w:val="006512CC"/>
    <w:rsid w:val="006604DD"/>
    <w:rsid w:val="006636E6"/>
    <w:rsid w:val="00666AD5"/>
    <w:rsid w:val="00674EC3"/>
    <w:rsid w:val="00693AD8"/>
    <w:rsid w:val="00693E59"/>
    <w:rsid w:val="006C12C3"/>
    <w:rsid w:val="006E38FE"/>
    <w:rsid w:val="0070012A"/>
    <w:rsid w:val="00702D3F"/>
    <w:rsid w:val="00705143"/>
    <w:rsid w:val="0071117A"/>
    <w:rsid w:val="007146AB"/>
    <w:rsid w:val="00720EA7"/>
    <w:rsid w:val="00732F3F"/>
    <w:rsid w:val="00744BCF"/>
    <w:rsid w:val="00751A5F"/>
    <w:rsid w:val="007541CE"/>
    <w:rsid w:val="0077384A"/>
    <w:rsid w:val="00773B3B"/>
    <w:rsid w:val="007808DB"/>
    <w:rsid w:val="007845EB"/>
    <w:rsid w:val="007A2AB4"/>
    <w:rsid w:val="007A65D6"/>
    <w:rsid w:val="007B0D59"/>
    <w:rsid w:val="007D3826"/>
    <w:rsid w:val="007D4AB7"/>
    <w:rsid w:val="007E539C"/>
    <w:rsid w:val="007E6DEF"/>
    <w:rsid w:val="00803804"/>
    <w:rsid w:val="00806274"/>
    <w:rsid w:val="008202E0"/>
    <w:rsid w:val="00826929"/>
    <w:rsid w:val="00834BEB"/>
    <w:rsid w:val="00856F6C"/>
    <w:rsid w:val="00863088"/>
    <w:rsid w:val="008636BD"/>
    <w:rsid w:val="0087365D"/>
    <w:rsid w:val="008810BA"/>
    <w:rsid w:val="008A7257"/>
    <w:rsid w:val="008C402F"/>
    <w:rsid w:val="008D6391"/>
    <w:rsid w:val="008D7A0A"/>
    <w:rsid w:val="008E1A2A"/>
    <w:rsid w:val="008F1D0C"/>
    <w:rsid w:val="008F6C2F"/>
    <w:rsid w:val="008F79CE"/>
    <w:rsid w:val="0090329A"/>
    <w:rsid w:val="00905F0A"/>
    <w:rsid w:val="00930008"/>
    <w:rsid w:val="00944920"/>
    <w:rsid w:val="0095123C"/>
    <w:rsid w:val="009649B8"/>
    <w:rsid w:val="00964F7D"/>
    <w:rsid w:val="0096693C"/>
    <w:rsid w:val="0097479D"/>
    <w:rsid w:val="009778CB"/>
    <w:rsid w:val="0099783A"/>
    <w:rsid w:val="009A03DA"/>
    <w:rsid w:val="009B2A0A"/>
    <w:rsid w:val="009C1783"/>
    <w:rsid w:val="009D4B69"/>
    <w:rsid w:val="009F3CD1"/>
    <w:rsid w:val="00A046B5"/>
    <w:rsid w:val="00A05317"/>
    <w:rsid w:val="00A21C24"/>
    <w:rsid w:val="00A240A3"/>
    <w:rsid w:val="00A33BF7"/>
    <w:rsid w:val="00A34FA9"/>
    <w:rsid w:val="00A35BAF"/>
    <w:rsid w:val="00A43D01"/>
    <w:rsid w:val="00A46022"/>
    <w:rsid w:val="00A52266"/>
    <w:rsid w:val="00A533D8"/>
    <w:rsid w:val="00A60CA4"/>
    <w:rsid w:val="00A82CAE"/>
    <w:rsid w:val="00A836F4"/>
    <w:rsid w:val="00A905CB"/>
    <w:rsid w:val="00A939EA"/>
    <w:rsid w:val="00AB037D"/>
    <w:rsid w:val="00AC30FB"/>
    <w:rsid w:val="00AE6BEE"/>
    <w:rsid w:val="00B04FC4"/>
    <w:rsid w:val="00B1753B"/>
    <w:rsid w:val="00B23268"/>
    <w:rsid w:val="00B23512"/>
    <w:rsid w:val="00B2778A"/>
    <w:rsid w:val="00B4365F"/>
    <w:rsid w:val="00B52761"/>
    <w:rsid w:val="00B52F17"/>
    <w:rsid w:val="00B549BA"/>
    <w:rsid w:val="00B64B3F"/>
    <w:rsid w:val="00B706E9"/>
    <w:rsid w:val="00B71F1F"/>
    <w:rsid w:val="00B72A3B"/>
    <w:rsid w:val="00B87D2E"/>
    <w:rsid w:val="00BA0FA8"/>
    <w:rsid w:val="00BB1944"/>
    <w:rsid w:val="00BB507A"/>
    <w:rsid w:val="00BB6777"/>
    <w:rsid w:val="00BD79FF"/>
    <w:rsid w:val="00BE3F48"/>
    <w:rsid w:val="00BF5CF8"/>
    <w:rsid w:val="00C004DB"/>
    <w:rsid w:val="00C41797"/>
    <w:rsid w:val="00C56580"/>
    <w:rsid w:val="00C56942"/>
    <w:rsid w:val="00C702AF"/>
    <w:rsid w:val="00C70CAF"/>
    <w:rsid w:val="00C95859"/>
    <w:rsid w:val="00C961FF"/>
    <w:rsid w:val="00C96380"/>
    <w:rsid w:val="00C969B1"/>
    <w:rsid w:val="00CA27C6"/>
    <w:rsid w:val="00CA6079"/>
    <w:rsid w:val="00CB467F"/>
    <w:rsid w:val="00CC195B"/>
    <w:rsid w:val="00CD2410"/>
    <w:rsid w:val="00D11E5B"/>
    <w:rsid w:val="00D167A1"/>
    <w:rsid w:val="00D24D37"/>
    <w:rsid w:val="00D31CDA"/>
    <w:rsid w:val="00D41294"/>
    <w:rsid w:val="00D41DAB"/>
    <w:rsid w:val="00D4569A"/>
    <w:rsid w:val="00D50022"/>
    <w:rsid w:val="00D51AFE"/>
    <w:rsid w:val="00D62801"/>
    <w:rsid w:val="00D66449"/>
    <w:rsid w:val="00D678A7"/>
    <w:rsid w:val="00D719E6"/>
    <w:rsid w:val="00DA0946"/>
    <w:rsid w:val="00DB31BC"/>
    <w:rsid w:val="00DF7198"/>
    <w:rsid w:val="00E04FAC"/>
    <w:rsid w:val="00E179A5"/>
    <w:rsid w:val="00E20801"/>
    <w:rsid w:val="00E272D9"/>
    <w:rsid w:val="00E34C3B"/>
    <w:rsid w:val="00E474D5"/>
    <w:rsid w:val="00E475C8"/>
    <w:rsid w:val="00E60752"/>
    <w:rsid w:val="00E63AB9"/>
    <w:rsid w:val="00E7105C"/>
    <w:rsid w:val="00E85E46"/>
    <w:rsid w:val="00E91AE7"/>
    <w:rsid w:val="00E91CA1"/>
    <w:rsid w:val="00EB2670"/>
    <w:rsid w:val="00EB6DCC"/>
    <w:rsid w:val="00EF4A5A"/>
    <w:rsid w:val="00EF50AC"/>
    <w:rsid w:val="00F10BD8"/>
    <w:rsid w:val="00F125F6"/>
    <w:rsid w:val="00F13B8C"/>
    <w:rsid w:val="00F24A34"/>
    <w:rsid w:val="00F42FB8"/>
    <w:rsid w:val="00F6772E"/>
    <w:rsid w:val="00F727EC"/>
    <w:rsid w:val="00F8666B"/>
    <w:rsid w:val="00F95EDB"/>
    <w:rsid w:val="00F97949"/>
    <w:rsid w:val="00FA1D74"/>
    <w:rsid w:val="00FC1F39"/>
    <w:rsid w:val="00FD1C97"/>
    <w:rsid w:val="00FD2B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AF9A"/>
  <w15:docId w15:val="{BB0F69F1-53BF-402D-B2A9-B2FA23C9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2D9"/>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Char"/>
    <w:uiPriority w:val="99"/>
    <w:semiHidden/>
    <w:unhideWhenUsed/>
    <w:rsid w:val="00E272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272D9"/>
    <w:rPr>
      <w:rFonts w:ascii="Tahoma" w:hAnsi="Tahoma" w:cs="Tahoma"/>
      <w:sz w:val="16"/>
      <w:szCs w:val="16"/>
    </w:rPr>
  </w:style>
  <w:style w:type="paragraph" w:styleId="a4">
    <w:name w:val="header"/>
    <w:basedOn w:val="a"/>
    <w:link w:val="Char0"/>
    <w:uiPriority w:val="99"/>
    <w:unhideWhenUsed/>
    <w:rsid w:val="00E272D9"/>
    <w:pPr>
      <w:tabs>
        <w:tab w:val="center" w:pos="4153"/>
        <w:tab w:val="right" w:pos="8306"/>
      </w:tabs>
      <w:spacing w:after="0" w:line="240" w:lineRule="auto"/>
    </w:pPr>
  </w:style>
  <w:style w:type="character" w:customStyle="1" w:styleId="Char0">
    <w:name w:val="Κεφαλίδα Char"/>
    <w:basedOn w:val="a0"/>
    <w:link w:val="a4"/>
    <w:uiPriority w:val="99"/>
    <w:rsid w:val="00E272D9"/>
  </w:style>
  <w:style w:type="paragraph" w:styleId="a5">
    <w:name w:val="footer"/>
    <w:basedOn w:val="a"/>
    <w:link w:val="Char1"/>
    <w:uiPriority w:val="99"/>
    <w:unhideWhenUsed/>
    <w:rsid w:val="00E272D9"/>
    <w:pPr>
      <w:tabs>
        <w:tab w:val="center" w:pos="4153"/>
        <w:tab w:val="right" w:pos="8306"/>
      </w:tabs>
      <w:spacing w:after="0" w:line="240" w:lineRule="auto"/>
    </w:pPr>
  </w:style>
  <w:style w:type="character" w:customStyle="1" w:styleId="Char1">
    <w:name w:val="Υποσέλιδο Char"/>
    <w:basedOn w:val="a0"/>
    <w:link w:val="a5"/>
    <w:uiPriority w:val="99"/>
    <w:rsid w:val="00E272D9"/>
  </w:style>
  <w:style w:type="table" w:styleId="a6">
    <w:name w:val="Table Grid"/>
    <w:basedOn w:val="a1"/>
    <w:uiPriority w:val="59"/>
    <w:rsid w:val="0059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6BC9"/>
    <w:pPr>
      <w:ind w:left="720"/>
      <w:contextualSpacing/>
    </w:pPr>
  </w:style>
  <w:style w:type="character" w:styleId="-">
    <w:name w:val="Hyperlink"/>
    <w:basedOn w:val="a0"/>
    <w:uiPriority w:val="99"/>
    <w:unhideWhenUsed/>
    <w:rsid w:val="00720EA7"/>
    <w:rPr>
      <w:color w:val="0000FF" w:themeColor="hyperlink"/>
      <w:u w:val="single"/>
    </w:rPr>
  </w:style>
  <w:style w:type="character" w:customStyle="1" w:styleId="1">
    <w:name w:val="Ανεπίλυτη αναφορά1"/>
    <w:basedOn w:val="a0"/>
    <w:uiPriority w:val="99"/>
    <w:semiHidden/>
    <w:unhideWhenUsed/>
    <w:rsid w:val="00720EA7"/>
    <w:rPr>
      <w:color w:val="605E5C"/>
      <w:shd w:val="clear" w:color="auto" w:fill="E1DFDD"/>
    </w:rPr>
  </w:style>
  <w:style w:type="character" w:styleId="a8">
    <w:name w:val="Unresolved Mention"/>
    <w:basedOn w:val="a0"/>
    <w:uiPriority w:val="99"/>
    <w:semiHidden/>
    <w:unhideWhenUsed/>
    <w:rsid w:val="00003964"/>
    <w:rPr>
      <w:color w:val="605E5C"/>
      <w:shd w:val="clear" w:color="auto" w:fill="E1DFDD"/>
    </w:rPr>
  </w:style>
  <w:style w:type="character" w:styleId="a9">
    <w:name w:val="annotation reference"/>
    <w:basedOn w:val="a0"/>
    <w:uiPriority w:val="99"/>
    <w:semiHidden/>
    <w:unhideWhenUsed/>
    <w:rsid w:val="0061111D"/>
    <w:rPr>
      <w:sz w:val="16"/>
      <w:szCs w:val="16"/>
    </w:rPr>
  </w:style>
  <w:style w:type="paragraph" w:styleId="aa">
    <w:name w:val="annotation text"/>
    <w:basedOn w:val="a"/>
    <w:link w:val="Char2"/>
    <w:uiPriority w:val="99"/>
    <w:semiHidden/>
    <w:unhideWhenUsed/>
    <w:rsid w:val="0061111D"/>
    <w:pPr>
      <w:spacing w:line="240" w:lineRule="auto"/>
    </w:pPr>
    <w:rPr>
      <w:sz w:val="20"/>
      <w:szCs w:val="20"/>
    </w:rPr>
  </w:style>
  <w:style w:type="character" w:customStyle="1" w:styleId="Char2">
    <w:name w:val="Κείμενο σχολίου Char"/>
    <w:basedOn w:val="a0"/>
    <w:link w:val="aa"/>
    <w:uiPriority w:val="99"/>
    <w:semiHidden/>
    <w:rsid w:val="0061111D"/>
    <w:rPr>
      <w:sz w:val="20"/>
      <w:szCs w:val="20"/>
    </w:rPr>
  </w:style>
  <w:style w:type="paragraph" w:styleId="ab">
    <w:name w:val="annotation subject"/>
    <w:basedOn w:val="aa"/>
    <w:next w:val="aa"/>
    <w:link w:val="Char3"/>
    <w:uiPriority w:val="99"/>
    <w:semiHidden/>
    <w:unhideWhenUsed/>
    <w:rsid w:val="0061111D"/>
    <w:rPr>
      <w:b/>
      <w:bCs/>
    </w:rPr>
  </w:style>
  <w:style w:type="character" w:customStyle="1" w:styleId="Char3">
    <w:name w:val="Θέμα σχολίου Char"/>
    <w:basedOn w:val="Char2"/>
    <w:link w:val="ab"/>
    <w:uiPriority w:val="99"/>
    <w:semiHidden/>
    <w:rsid w:val="00611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7279">
      <w:bodyDiv w:val="1"/>
      <w:marLeft w:val="0"/>
      <w:marRight w:val="0"/>
      <w:marTop w:val="0"/>
      <w:marBottom w:val="0"/>
      <w:divBdr>
        <w:top w:val="none" w:sz="0" w:space="0" w:color="auto"/>
        <w:left w:val="none" w:sz="0" w:space="0" w:color="auto"/>
        <w:bottom w:val="none" w:sz="0" w:space="0" w:color="auto"/>
        <w:right w:val="none" w:sz="0" w:space="0" w:color="auto"/>
      </w:divBdr>
    </w:div>
    <w:div w:id="200361337">
      <w:bodyDiv w:val="1"/>
      <w:marLeft w:val="0"/>
      <w:marRight w:val="0"/>
      <w:marTop w:val="0"/>
      <w:marBottom w:val="0"/>
      <w:divBdr>
        <w:top w:val="none" w:sz="0" w:space="0" w:color="auto"/>
        <w:left w:val="none" w:sz="0" w:space="0" w:color="auto"/>
        <w:bottom w:val="none" w:sz="0" w:space="0" w:color="auto"/>
        <w:right w:val="none" w:sz="0" w:space="0" w:color="auto"/>
      </w:divBdr>
    </w:div>
    <w:div w:id="362092708">
      <w:bodyDiv w:val="1"/>
      <w:marLeft w:val="0"/>
      <w:marRight w:val="0"/>
      <w:marTop w:val="0"/>
      <w:marBottom w:val="0"/>
      <w:divBdr>
        <w:top w:val="none" w:sz="0" w:space="0" w:color="auto"/>
        <w:left w:val="none" w:sz="0" w:space="0" w:color="auto"/>
        <w:bottom w:val="none" w:sz="0" w:space="0" w:color="auto"/>
        <w:right w:val="none" w:sz="0" w:space="0" w:color="auto"/>
      </w:divBdr>
    </w:div>
    <w:div w:id="537474528">
      <w:bodyDiv w:val="1"/>
      <w:marLeft w:val="0"/>
      <w:marRight w:val="0"/>
      <w:marTop w:val="0"/>
      <w:marBottom w:val="0"/>
      <w:divBdr>
        <w:top w:val="none" w:sz="0" w:space="0" w:color="auto"/>
        <w:left w:val="none" w:sz="0" w:space="0" w:color="auto"/>
        <w:bottom w:val="none" w:sz="0" w:space="0" w:color="auto"/>
        <w:right w:val="none" w:sz="0" w:space="0" w:color="auto"/>
      </w:divBdr>
    </w:div>
    <w:div w:id="653990150">
      <w:bodyDiv w:val="1"/>
      <w:marLeft w:val="0"/>
      <w:marRight w:val="0"/>
      <w:marTop w:val="0"/>
      <w:marBottom w:val="0"/>
      <w:divBdr>
        <w:top w:val="none" w:sz="0" w:space="0" w:color="auto"/>
        <w:left w:val="none" w:sz="0" w:space="0" w:color="auto"/>
        <w:bottom w:val="none" w:sz="0" w:space="0" w:color="auto"/>
        <w:right w:val="none" w:sz="0" w:space="0" w:color="auto"/>
      </w:divBdr>
    </w:div>
    <w:div w:id="666858870">
      <w:bodyDiv w:val="1"/>
      <w:marLeft w:val="0"/>
      <w:marRight w:val="0"/>
      <w:marTop w:val="0"/>
      <w:marBottom w:val="0"/>
      <w:divBdr>
        <w:top w:val="none" w:sz="0" w:space="0" w:color="auto"/>
        <w:left w:val="none" w:sz="0" w:space="0" w:color="auto"/>
        <w:bottom w:val="none" w:sz="0" w:space="0" w:color="auto"/>
        <w:right w:val="none" w:sz="0" w:space="0" w:color="auto"/>
      </w:divBdr>
    </w:div>
    <w:div w:id="898786749">
      <w:bodyDiv w:val="1"/>
      <w:marLeft w:val="0"/>
      <w:marRight w:val="0"/>
      <w:marTop w:val="0"/>
      <w:marBottom w:val="0"/>
      <w:divBdr>
        <w:top w:val="none" w:sz="0" w:space="0" w:color="auto"/>
        <w:left w:val="none" w:sz="0" w:space="0" w:color="auto"/>
        <w:bottom w:val="none" w:sz="0" w:space="0" w:color="auto"/>
        <w:right w:val="none" w:sz="0" w:space="0" w:color="auto"/>
      </w:divBdr>
    </w:div>
    <w:div w:id="1117329996">
      <w:bodyDiv w:val="1"/>
      <w:marLeft w:val="0"/>
      <w:marRight w:val="0"/>
      <w:marTop w:val="0"/>
      <w:marBottom w:val="0"/>
      <w:divBdr>
        <w:top w:val="none" w:sz="0" w:space="0" w:color="auto"/>
        <w:left w:val="none" w:sz="0" w:space="0" w:color="auto"/>
        <w:bottom w:val="none" w:sz="0" w:space="0" w:color="auto"/>
        <w:right w:val="none" w:sz="0" w:space="0" w:color="auto"/>
      </w:divBdr>
    </w:div>
    <w:div w:id="1479414337">
      <w:bodyDiv w:val="1"/>
      <w:marLeft w:val="0"/>
      <w:marRight w:val="0"/>
      <w:marTop w:val="0"/>
      <w:marBottom w:val="0"/>
      <w:divBdr>
        <w:top w:val="none" w:sz="0" w:space="0" w:color="auto"/>
        <w:left w:val="none" w:sz="0" w:space="0" w:color="auto"/>
        <w:bottom w:val="none" w:sz="0" w:space="0" w:color="auto"/>
        <w:right w:val="none" w:sz="0" w:space="0" w:color="auto"/>
      </w:divBdr>
    </w:div>
    <w:div w:id="1526750026">
      <w:bodyDiv w:val="1"/>
      <w:marLeft w:val="0"/>
      <w:marRight w:val="0"/>
      <w:marTop w:val="0"/>
      <w:marBottom w:val="0"/>
      <w:divBdr>
        <w:top w:val="none" w:sz="0" w:space="0" w:color="auto"/>
        <w:left w:val="none" w:sz="0" w:space="0" w:color="auto"/>
        <w:bottom w:val="none" w:sz="0" w:space="0" w:color="auto"/>
        <w:right w:val="none" w:sz="0" w:space="0" w:color="auto"/>
      </w:divBdr>
    </w:div>
    <w:div w:id="1577202695">
      <w:bodyDiv w:val="1"/>
      <w:marLeft w:val="0"/>
      <w:marRight w:val="0"/>
      <w:marTop w:val="0"/>
      <w:marBottom w:val="0"/>
      <w:divBdr>
        <w:top w:val="none" w:sz="0" w:space="0" w:color="auto"/>
        <w:left w:val="none" w:sz="0" w:space="0" w:color="auto"/>
        <w:bottom w:val="none" w:sz="0" w:space="0" w:color="auto"/>
        <w:right w:val="none" w:sz="0" w:space="0" w:color="auto"/>
      </w:divBdr>
    </w:div>
    <w:div w:id="1650211822">
      <w:bodyDiv w:val="1"/>
      <w:marLeft w:val="0"/>
      <w:marRight w:val="0"/>
      <w:marTop w:val="0"/>
      <w:marBottom w:val="0"/>
      <w:divBdr>
        <w:top w:val="none" w:sz="0" w:space="0" w:color="auto"/>
        <w:left w:val="none" w:sz="0" w:space="0" w:color="auto"/>
        <w:bottom w:val="none" w:sz="0" w:space="0" w:color="auto"/>
        <w:right w:val="none" w:sz="0" w:space="0" w:color="auto"/>
      </w:divBdr>
    </w:div>
    <w:div w:id="17012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pahes@aade.g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A69D-A504-4C99-B79D-4D592D70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9264</Words>
  <Characters>50031</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ΔΙ.ΕΛ.ΔΙ Α</cp:lastModifiedBy>
  <cp:revision>33</cp:revision>
  <dcterms:created xsi:type="dcterms:W3CDTF">2025-11-26T11:44:00Z</dcterms:created>
  <dcterms:modified xsi:type="dcterms:W3CDTF">2025-12-02T10:45:00Z</dcterms:modified>
</cp:coreProperties>
</file>