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2355" w:rsidRDefault="00492355"/>
    <w:tbl>
      <w:tblPr>
        <w:tblpPr w:leftFromText="180" w:rightFromText="180" w:vertAnchor="text" w:horzAnchor="margin" w:tblpY="-779"/>
        <w:tblW w:w="8505" w:type="dxa"/>
        <w:tblLayout w:type="fixed"/>
        <w:tblLook w:val="04A0" w:firstRow="1" w:lastRow="0" w:firstColumn="1" w:lastColumn="0" w:noHBand="0" w:noVBand="1"/>
      </w:tblPr>
      <w:tblGrid>
        <w:gridCol w:w="8505"/>
      </w:tblGrid>
      <w:tr w:rsidR="00AF44BF" w:rsidRPr="00AF44BF" w:rsidTr="006E74B7">
        <w:tc>
          <w:tcPr>
            <w:tcW w:w="8505" w:type="dxa"/>
          </w:tcPr>
          <w:p w:rsidR="00AF44BF" w:rsidRPr="00AF44BF" w:rsidRDefault="00AF44BF" w:rsidP="00663632">
            <w:pPr>
              <w:spacing w:line="276" w:lineRule="auto"/>
              <w:jc w:val="both"/>
              <w:rPr>
                <w:rFonts w:ascii="Franklin Gothic Medium" w:hAnsi="Franklin Gothic Medium"/>
                <w:color w:val="1F3864"/>
                <w:sz w:val="24"/>
                <w:szCs w:val="24"/>
              </w:rPr>
            </w:pPr>
            <w:r w:rsidRPr="00AF44BF">
              <w:rPr>
                <w:rFonts w:ascii="Franklin Gothic Medium" w:hAnsi="Franklin Gothic Medium"/>
                <w:noProof/>
                <w:sz w:val="24"/>
                <w:szCs w:val="24"/>
                <w:lang w:eastAsia="el-GR"/>
              </w:rPr>
              <w:drawing>
                <wp:inline distT="0" distB="0" distL="0" distR="0" wp14:anchorId="041E5CE8" wp14:editId="1BDEF0A6">
                  <wp:extent cx="1790700" cy="1409700"/>
                  <wp:effectExtent l="19050" t="0" r="0" b="0"/>
                  <wp:docPr id="1" name="Εικόνα 1" descr="ethnosimo-aade-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ethnosimo-aade-gr"/>
                          <pic:cNvPicPr>
                            <a:picLocks noChangeAspect="1" noChangeArrowheads="1"/>
                          </pic:cNvPicPr>
                        </pic:nvPicPr>
                        <pic:blipFill>
                          <a:blip r:embed="rId6" cstate="print"/>
                          <a:srcRect/>
                          <a:stretch>
                            <a:fillRect/>
                          </a:stretch>
                        </pic:blipFill>
                        <pic:spPr bwMode="auto">
                          <a:xfrm>
                            <a:off x="0" y="0"/>
                            <a:ext cx="1790700" cy="1409700"/>
                          </a:xfrm>
                          <a:prstGeom prst="rect">
                            <a:avLst/>
                          </a:prstGeom>
                          <a:noFill/>
                          <a:ln w="9525">
                            <a:noFill/>
                            <a:miter lim="800000"/>
                            <a:headEnd/>
                            <a:tailEnd/>
                          </a:ln>
                        </pic:spPr>
                      </pic:pic>
                    </a:graphicData>
                  </a:graphic>
                </wp:inline>
              </w:drawing>
            </w:r>
          </w:p>
        </w:tc>
      </w:tr>
    </w:tbl>
    <w:p w:rsidR="00AF44BF" w:rsidRPr="009320A8" w:rsidRDefault="00AF44BF" w:rsidP="00082964">
      <w:pPr>
        <w:spacing w:line="276" w:lineRule="auto"/>
        <w:jc w:val="right"/>
        <w:rPr>
          <w:rFonts w:ascii="Franklin Gothic Medium" w:hAnsi="Franklin Gothic Medium"/>
          <w:b/>
          <w:sz w:val="24"/>
          <w:szCs w:val="24"/>
        </w:rPr>
      </w:pPr>
      <w:r w:rsidRPr="009320A8">
        <w:rPr>
          <w:rFonts w:ascii="Franklin Gothic Medium" w:hAnsi="Franklin Gothic Medium"/>
          <w:sz w:val="24"/>
          <w:szCs w:val="24"/>
        </w:rPr>
        <w:t xml:space="preserve"> </w:t>
      </w:r>
      <w:r w:rsidRPr="00492355">
        <w:rPr>
          <w:rFonts w:ascii="Franklin Gothic Medium" w:hAnsi="Franklin Gothic Medium"/>
          <w:sz w:val="24"/>
          <w:szCs w:val="24"/>
        </w:rPr>
        <w:t>Αθήνα,</w:t>
      </w:r>
      <w:r w:rsidR="00492355">
        <w:rPr>
          <w:rFonts w:ascii="Franklin Gothic Medium" w:hAnsi="Franklin Gothic Medium"/>
          <w:sz w:val="24"/>
          <w:szCs w:val="24"/>
        </w:rPr>
        <w:t xml:space="preserve"> </w:t>
      </w:r>
      <w:r w:rsidR="005469D4">
        <w:rPr>
          <w:rFonts w:ascii="Franklin Gothic Medium" w:hAnsi="Franklin Gothic Medium"/>
          <w:sz w:val="24"/>
          <w:szCs w:val="24"/>
        </w:rPr>
        <w:t>1</w:t>
      </w:r>
      <w:r w:rsidR="00EC30C2" w:rsidRPr="006C01E5">
        <w:rPr>
          <w:rFonts w:ascii="Franklin Gothic Medium" w:hAnsi="Franklin Gothic Medium"/>
          <w:sz w:val="24"/>
          <w:szCs w:val="24"/>
        </w:rPr>
        <w:t>2</w:t>
      </w:r>
      <w:r w:rsidR="00492355">
        <w:rPr>
          <w:rFonts w:ascii="Franklin Gothic Medium" w:hAnsi="Franklin Gothic Medium"/>
          <w:sz w:val="24"/>
          <w:szCs w:val="24"/>
        </w:rPr>
        <w:t xml:space="preserve"> Δεκεμβρίου </w:t>
      </w:r>
      <w:r w:rsidRPr="00492355">
        <w:rPr>
          <w:rFonts w:ascii="Franklin Gothic Medium" w:hAnsi="Franklin Gothic Medium"/>
          <w:sz w:val="24"/>
          <w:szCs w:val="24"/>
        </w:rPr>
        <w:t>202</w:t>
      </w:r>
      <w:r w:rsidR="00132B1E" w:rsidRPr="00492355">
        <w:rPr>
          <w:rFonts w:ascii="Franklin Gothic Medium" w:hAnsi="Franklin Gothic Medium"/>
          <w:sz w:val="24"/>
          <w:szCs w:val="24"/>
        </w:rPr>
        <w:t>5</w:t>
      </w:r>
    </w:p>
    <w:p w:rsidR="00AF44BF" w:rsidRPr="009320A8" w:rsidRDefault="00AF44BF" w:rsidP="00AF44BF">
      <w:pPr>
        <w:spacing w:line="276" w:lineRule="auto"/>
        <w:jc w:val="both"/>
        <w:rPr>
          <w:rFonts w:ascii="Franklin Gothic Medium" w:hAnsi="Franklin Gothic Medium"/>
          <w:b/>
          <w:sz w:val="28"/>
          <w:szCs w:val="28"/>
        </w:rPr>
      </w:pPr>
    </w:p>
    <w:p w:rsidR="00AF44BF" w:rsidRPr="009320A8" w:rsidRDefault="00AF44BF" w:rsidP="00991FA7">
      <w:pPr>
        <w:spacing w:after="240" w:line="360" w:lineRule="auto"/>
        <w:jc w:val="center"/>
        <w:rPr>
          <w:rFonts w:ascii="Franklin Gothic Medium" w:hAnsi="Franklin Gothic Medium"/>
          <w:b/>
          <w:bCs/>
          <w:sz w:val="28"/>
          <w:szCs w:val="28"/>
        </w:rPr>
      </w:pPr>
      <w:r w:rsidRPr="00AF44BF">
        <w:rPr>
          <w:rFonts w:ascii="Franklin Gothic Medium" w:hAnsi="Franklin Gothic Medium"/>
          <w:b/>
          <w:bCs/>
          <w:sz w:val="28"/>
          <w:szCs w:val="28"/>
        </w:rPr>
        <w:t>ΔΕΛΤΙΟ</w:t>
      </w:r>
      <w:r w:rsidRPr="009320A8">
        <w:rPr>
          <w:rFonts w:ascii="Franklin Gothic Medium" w:hAnsi="Franklin Gothic Medium"/>
          <w:b/>
          <w:bCs/>
          <w:sz w:val="28"/>
          <w:szCs w:val="28"/>
        </w:rPr>
        <w:t xml:space="preserve"> </w:t>
      </w:r>
      <w:r w:rsidRPr="00AF44BF">
        <w:rPr>
          <w:rFonts w:ascii="Franklin Gothic Medium" w:hAnsi="Franklin Gothic Medium"/>
          <w:b/>
          <w:bCs/>
          <w:sz w:val="28"/>
          <w:szCs w:val="28"/>
        </w:rPr>
        <w:t>ΤΥΠΟΥ</w:t>
      </w:r>
    </w:p>
    <w:p w:rsidR="0008580D" w:rsidRDefault="002D279F" w:rsidP="00EC30C2">
      <w:pPr>
        <w:spacing w:before="120" w:after="120" w:line="276" w:lineRule="auto"/>
        <w:jc w:val="center"/>
        <w:rPr>
          <w:rFonts w:ascii="Franklin Gothic Medium" w:hAnsi="Franklin Gothic Medium" w:cstheme="minorBidi"/>
          <w:bCs/>
          <w:sz w:val="24"/>
          <w:szCs w:val="24"/>
        </w:rPr>
      </w:pPr>
      <w:r w:rsidRPr="002D279F">
        <w:rPr>
          <w:rFonts w:ascii="Franklin Gothic Medium" w:hAnsi="Franklin Gothic Medium" w:cstheme="minorBidi"/>
          <w:b/>
          <w:bCs/>
          <w:sz w:val="28"/>
          <w:szCs w:val="28"/>
        </w:rPr>
        <w:t xml:space="preserve">ΑΑΔΕ: </w:t>
      </w:r>
      <w:r w:rsidR="006C01E5" w:rsidRPr="006C01E5">
        <w:rPr>
          <w:rFonts w:ascii="Franklin Gothic Medium" w:hAnsi="Franklin Gothic Medium" w:cstheme="minorBidi"/>
          <w:b/>
          <w:bCs/>
          <w:sz w:val="28"/>
          <w:szCs w:val="28"/>
        </w:rPr>
        <w:t>Νέα σημαντική μείωση του κενού ΦΠΑ στην Ελλάδα - Υποχώρησε 61% σε έξι χρόνια</w:t>
      </w:r>
      <w:bookmarkStart w:id="0" w:name="_GoBack"/>
      <w:bookmarkEnd w:id="0"/>
    </w:p>
    <w:p w:rsidR="00EC30C2" w:rsidRPr="00EC30C2" w:rsidRDefault="00EC30C2" w:rsidP="00EC30C2">
      <w:pPr>
        <w:spacing w:before="120" w:after="120" w:line="276" w:lineRule="auto"/>
        <w:jc w:val="both"/>
        <w:rPr>
          <w:rFonts w:ascii="Franklin Gothic Medium" w:hAnsi="Franklin Gothic Medium" w:cstheme="minorBidi"/>
          <w:bCs/>
          <w:sz w:val="24"/>
          <w:szCs w:val="24"/>
        </w:rPr>
      </w:pPr>
      <w:r w:rsidRPr="00EC30C2">
        <w:rPr>
          <w:rFonts w:ascii="Franklin Gothic Medium" w:hAnsi="Franklin Gothic Medium" w:cstheme="minorBidi"/>
          <w:bCs/>
          <w:sz w:val="24"/>
          <w:szCs w:val="24"/>
        </w:rPr>
        <w:t xml:space="preserve">Σημαντική πρόοδο, για ακόμα μια χρονιά, πέτυχε η Ελλάδα στη μείωση του κενού ΦΠΑ. Από την έναρξη λειτουργίας της το 2017, η ΑΑΔΕ έχει προχωρήσει σε ένα εκτεταμένο μεταρρυθμιστικό έργο, το οποίο έχει βελτιώσει αισθητά την αποτελεσματικότητα της φορολογικής διοίκησης. </w:t>
      </w:r>
    </w:p>
    <w:p w:rsidR="00EC30C2" w:rsidRPr="00EC30C2" w:rsidRDefault="00EC30C2" w:rsidP="00EC30C2">
      <w:pPr>
        <w:spacing w:before="120" w:after="120" w:line="276" w:lineRule="auto"/>
        <w:jc w:val="both"/>
        <w:rPr>
          <w:rFonts w:ascii="Franklin Gothic Medium" w:hAnsi="Franklin Gothic Medium" w:cstheme="minorBidi"/>
          <w:bCs/>
          <w:sz w:val="24"/>
          <w:szCs w:val="24"/>
        </w:rPr>
      </w:pPr>
      <w:r w:rsidRPr="00EC30C2">
        <w:rPr>
          <w:rFonts w:ascii="Franklin Gothic Medium" w:hAnsi="Franklin Gothic Medium" w:cstheme="minorBidi"/>
          <w:bCs/>
          <w:sz w:val="24"/>
          <w:szCs w:val="24"/>
        </w:rPr>
        <w:t>Συγκεκριμένα:</w:t>
      </w:r>
    </w:p>
    <w:p w:rsidR="00EC30C2" w:rsidRPr="00EC30C2" w:rsidRDefault="00EC30C2" w:rsidP="00EC30C2">
      <w:pPr>
        <w:pStyle w:val="a3"/>
        <w:numPr>
          <w:ilvl w:val="0"/>
          <w:numId w:val="32"/>
        </w:numPr>
        <w:spacing w:before="120" w:after="120" w:line="276" w:lineRule="auto"/>
        <w:jc w:val="both"/>
        <w:rPr>
          <w:rFonts w:ascii="Franklin Gothic Medium" w:hAnsi="Franklin Gothic Medium" w:cstheme="minorBidi"/>
          <w:bCs/>
          <w:sz w:val="24"/>
          <w:szCs w:val="24"/>
        </w:rPr>
      </w:pPr>
      <w:r w:rsidRPr="00EC30C2">
        <w:rPr>
          <w:rFonts w:ascii="Franklin Gothic Medium" w:hAnsi="Franklin Gothic Medium" w:cstheme="minorBidi"/>
          <w:bCs/>
          <w:sz w:val="24"/>
          <w:szCs w:val="24"/>
        </w:rPr>
        <w:t>Το 2017, το Κενό ΦΠΑ — σύμφωνα με τις εκτιμήσεις της τότε έκθεσης της Ευρωπαϊκής Επιτροπής — ανερχόταν στο 29%</w:t>
      </w:r>
    </w:p>
    <w:p w:rsidR="00EC30C2" w:rsidRPr="00EC30C2" w:rsidRDefault="00EC30C2" w:rsidP="00EC30C2">
      <w:pPr>
        <w:pStyle w:val="a3"/>
        <w:numPr>
          <w:ilvl w:val="0"/>
          <w:numId w:val="32"/>
        </w:numPr>
        <w:spacing w:before="120" w:after="120" w:line="276" w:lineRule="auto"/>
        <w:jc w:val="both"/>
        <w:rPr>
          <w:rFonts w:ascii="Franklin Gothic Medium" w:hAnsi="Franklin Gothic Medium" w:cstheme="minorBidi"/>
          <w:bCs/>
          <w:sz w:val="24"/>
          <w:szCs w:val="24"/>
        </w:rPr>
      </w:pPr>
      <w:r w:rsidRPr="00EC30C2">
        <w:rPr>
          <w:rFonts w:ascii="Franklin Gothic Medium" w:hAnsi="Franklin Gothic Medium" w:cstheme="minorBidi"/>
          <w:bCs/>
          <w:sz w:val="24"/>
          <w:szCs w:val="24"/>
        </w:rPr>
        <w:t>Το 2023, το Κενό ΦΠΑ εκτιμάται στο 11,4%, καταγράφοντας εντυπωσιακή μείωση, που αντικατοπτρίζει τις συνεχείς παρεμβάσεις και αναβαθμίσεις στη διαδικασία είσπραξης και ελέγχου ΦΠΑ.</w:t>
      </w:r>
    </w:p>
    <w:p w:rsidR="00EC30C2" w:rsidRDefault="00EC30C2" w:rsidP="00EC30C2">
      <w:pPr>
        <w:spacing w:before="120" w:after="120" w:line="276" w:lineRule="auto"/>
        <w:jc w:val="both"/>
        <w:rPr>
          <w:rFonts w:ascii="Franklin Gothic Medium" w:hAnsi="Franklin Gothic Medium" w:cstheme="minorBidi"/>
          <w:bCs/>
          <w:sz w:val="24"/>
          <w:szCs w:val="24"/>
        </w:rPr>
      </w:pPr>
      <w:r w:rsidRPr="00EC30C2">
        <w:rPr>
          <w:rFonts w:ascii="Franklin Gothic Medium" w:hAnsi="Franklin Gothic Medium" w:cstheme="minorBidi"/>
          <w:bCs/>
          <w:sz w:val="24"/>
          <w:szCs w:val="24"/>
        </w:rPr>
        <w:t>Παράλληλα, αναθεωρήθηκαν προς τα κάτω οι εκτιμήσεις των κενών ΦΠΑ για τα έτη 2021 και 2022.</w:t>
      </w:r>
      <w:r w:rsidR="00853781">
        <w:rPr>
          <w:rFonts w:ascii="Franklin Gothic Medium" w:hAnsi="Franklin Gothic Medium" w:cstheme="minorBidi"/>
          <w:bCs/>
          <w:sz w:val="24"/>
          <w:szCs w:val="24"/>
        </w:rPr>
        <w:t xml:space="preserve"> </w:t>
      </w:r>
      <w:r w:rsidRPr="00EC30C2">
        <w:rPr>
          <w:rFonts w:ascii="Franklin Gothic Medium" w:hAnsi="Franklin Gothic Medium" w:cstheme="minorBidi"/>
          <w:bCs/>
          <w:sz w:val="24"/>
          <w:szCs w:val="24"/>
        </w:rPr>
        <w:t>Η εντυπωσιακή αυτή εξέλιξη τοποθετεί τη χώρα σε τροχιά σύγκλισης με τον μέσο όρο της Ευρωζώνης, σε μια περίοδο, όπου σε ευρωπαϊκό επίπεδο το κενό ΦΠΑ εμφανίζει σημάδια επιδείνωσης.</w:t>
      </w:r>
    </w:p>
    <w:p w:rsidR="00EC30C2" w:rsidRPr="00EC30C2" w:rsidRDefault="00EC30C2" w:rsidP="00EC30C2">
      <w:pPr>
        <w:spacing w:before="120" w:after="120" w:line="276" w:lineRule="auto"/>
        <w:jc w:val="both"/>
        <w:rPr>
          <w:rFonts w:ascii="Franklin Gothic Medium" w:hAnsi="Franklin Gothic Medium" w:cstheme="minorBidi"/>
          <w:bCs/>
          <w:sz w:val="24"/>
          <w:szCs w:val="24"/>
        </w:rPr>
      </w:pPr>
    </w:p>
    <w:p w:rsidR="00EC30C2" w:rsidRPr="00EC30C2" w:rsidRDefault="00EC30C2" w:rsidP="00EC30C2">
      <w:pPr>
        <w:spacing w:before="120" w:after="120" w:line="276" w:lineRule="auto"/>
        <w:jc w:val="both"/>
        <w:rPr>
          <w:rFonts w:ascii="Franklin Gothic Medium" w:hAnsi="Franklin Gothic Medium" w:cstheme="minorBidi"/>
          <w:bCs/>
          <w:sz w:val="24"/>
          <w:szCs w:val="24"/>
        </w:rPr>
      </w:pPr>
      <w:r w:rsidRPr="00EC30C2">
        <w:rPr>
          <w:rFonts w:ascii="Franklin Gothic Medium" w:hAnsi="Franklin Gothic Medium" w:cstheme="minorBidi"/>
          <w:bCs/>
          <w:sz w:val="24"/>
          <w:szCs w:val="24"/>
        </w:rPr>
        <w:t>Βασικά Ευρήματα της έκθεσης για την Ελλάδα</w:t>
      </w:r>
    </w:p>
    <w:p w:rsidR="00EC30C2" w:rsidRPr="00EC30C2" w:rsidRDefault="00EC30C2" w:rsidP="00EC30C2">
      <w:pPr>
        <w:pStyle w:val="a3"/>
        <w:numPr>
          <w:ilvl w:val="0"/>
          <w:numId w:val="33"/>
        </w:numPr>
        <w:spacing w:before="120" w:after="120" w:line="276" w:lineRule="auto"/>
        <w:jc w:val="both"/>
        <w:rPr>
          <w:rFonts w:ascii="Franklin Gothic Medium" w:hAnsi="Franklin Gothic Medium" w:cstheme="minorBidi"/>
          <w:bCs/>
          <w:sz w:val="24"/>
          <w:szCs w:val="24"/>
        </w:rPr>
      </w:pPr>
      <w:r w:rsidRPr="00EC30C2">
        <w:rPr>
          <w:rFonts w:ascii="Franklin Gothic Medium" w:hAnsi="Franklin Gothic Medium" w:cstheme="minorBidi"/>
          <w:bCs/>
          <w:sz w:val="24"/>
          <w:szCs w:val="24"/>
        </w:rPr>
        <w:t>Το κενό ΦΠΑ στην Ελλάδα μειώθηκε σε 11,4% το 2023, σημειώνοντας πτώση 61% σε σχέση με το 2017 (29,0%).</w:t>
      </w:r>
    </w:p>
    <w:p w:rsidR="00EC30C2" w:rsidRPr="00EC30C2" w:rsidRDefault="00EC30C2" w:rsidP="00EC30C2">
      <w:pPr>
        <w:pStyle w:val="a3"/>
        <w:numPr>
          <w:ilvl w:val="0"/>
          <w:numId w:val="33"/>
        </w:numPr>
        <w:spacing w:before="120" w:after="120" w:line="276" w:lineRule="auto"/>
        <w:jc w:val="both"/>
        <w:rPr>
          <w:rFonts w:ascii="Franklin Gothic Medium" w:hAnsi="Franklin Gothic Medium" w:cstheme="minorBidi"/>
          <w:bCs/>
          <w:sz w:val="24"/>
          <w:szCs w:val="24"/>
        </w:rPr>
      </w:pPr>
      <w:r w:rsidRPr="00EC30C2">
        <w:rPr>
          <w:rFonts w:ascii="Franklin Gothic Medium" w:hAnsi="Franklin Gothic Medium" w:cstheme="minorBidi"/>
          <w:bCs/>
          <w:sz w:val="24"/>
          <w:szCs w:val="24"/>
        </w:rPr>
        <w:t>Η μείωση κατά 17,6 εκατοστιαίες μονάδες, την περίοδο 2017–2023, αποτελεί τη μεγαλύτερη μείωση μεταξύ των κρατών μελών της ΕΕ, επιβεβαιώνοντας τη σημαντική ενίσχυση της φορολογικής συμμόρφωσης.</w:t>
      </w:r>
    </w:p>
    <w:p w:rsidR="0035387A" w:rsidRDefault="00EC30C2" w:rsidP="00EC30C2">
      <w:pPr>
        <w:pStyle w:val="a3"/>
        <w:numPr>
          <w:ilvl w:val="0"/>
          <w:numId w:val="33"/>
        </w:numPr>
        <w:spacing w:before="120" w:after="120" w:line="276" w:lineRule="auto"/>
        <w:jc w:val="both"/>
        <w:rPr>
          <w:rFonts w:ascii="Franklin Gothic Medium" w:hAnsi="Franklin Gothic Medium" w:cstheme="minorBidi"/>
          <w:bCs/>
          <w:sz w:val="24"/>
          <w:szCs w:val="24"/>
        </w:rPr>
      </w:pPr>
      <w:r w:rsidRPr="00EC30C2">
        <w:rPr>
          <w:rFonts w:ascii="Franklin Gothic Medium" w:hAnsi="Franklin Gothic Medium" w:cstheme="minorBidi"/>
          <w:bCs/>
          <w:sz w:val="24"/>
          <w:szCs w:val="24"/>
        </w:rPr>
        <w:t>Την περίοδο 2022–2023, η Ελλάδα συγκαταλέγεται στα εννέα κράτη μέλη που πέτυχαν περαιτέρω μείωση του κενού ΦΠΑ, επιτυγχάνοντας την 6η μεγαλύτερη ετήσια μείωση (1,1%), τη στιγμή που ο μέσος όρος της ΕΕ αυξήθηκε κατά 1,6%.</w:t>
      </w:r>
    </w:p>
    <w:p w:rsidR="00EC30C2" w:rsidRPr="0035387A" w:rsidRDefault="00EC30C2" w:rsidP="00EC30C2">
      <w:pPr>
        <w:pStyle w:val="a3"/>
        <w:numPr>
          <w:ilvl w:val="0"/>
          <w:numId w:val="33"/>
        </w:numPr>
        <w:spacing w:before="120" w:after="120" w:line="276" w:lineRule="auto"/>
        <w:jc w:val="both"/>
        <w:rPr>
          <w:rFonts w:ascii="Franklin Gothic Medium" w:hAnsi="Franklin Gothic Medium" w:cstheme="minorBidi"/>
          <w:bCs/>
          <w:sz w:val="24"/>
          <w:szCs w:val="24"/>
        </w:rPr>
      </w:pPr>
      <w:r w:rsidRPr="0035387A">
        <w:rPr>
          <w:rFonts w:ascii="Franklin Gothic Medium" w:hAnsi="Franklin Gothic Medium" w:cstheme="minorBidi"/>
          <w:bCs/>
          <w:sz w:val="24"/>
          <w:szCs w:val="24"/>
        </w:rPr>
        <w:t xml:space="preserve"> Όσον αφορά το κενό ΦΠΑ που αποδίδεται σε απάτη από εξαφανισμένους εμπόρους, η χώρα μας κατατάσσεται μεταξύ των τεσσάρων κρατών-μελών με </w:t>
      </w:r>
      <w:r w:rsidRPr="0035387A">
        <w:rPr>
          <w:rFonts w:ascii="Franklin Gothic Medium" w:hAnsi="Franklin Gothic Medium" w:cstheme="minorBidi"/>
          <w:bCs/>
          <w:sz w:val="24"/>
          <w:szCs w:val="24"/>
        </w:rPr>
        <w:lastRenderedPageBreak/>
        <w:t>το χαμηλότερο αντίστοιχο κενό, σύμφωνα με τη σχετική έκθεση της Ευρωπαϊκής Επιτροπής.</w:t>
      </w:r>
    </w:p>
    <w:p w:rsidR="00EC30C2" w:rsidRPr="00EC30C2" w:rsidRDefault="00EC30C2" w:rsidP="00EC30C2">
      <w:pPr>
        <w:spacing w:before="120" w:after="120" w:line="276" w:lineRule="auto"/>
        <w:jc w:val="both"/>
        <w:rPr>
          <w:rFonts w:ascii="Franklin Gothic Medium" w:hAnsi="Franklin Gothic Medium" w:cstheme="minorBidi"/>
          <w:bCs/>
          <w:sz w:val="24"/>
          <w:szCs w:val="24"/>
        </w:rPr>
      </w:pPr>
    </w:p>
    <w:p w:rsidR="00853781" w:rsidRDefault="00EC30C2" w:rsidP="00EC30C2">
      <w:pPr>
        <w:spacing w:before="120" w:after="120" w:line="276" w:lineRule="auto"/>
        <w:jc w:val="both"/>
        <w:rPr>
          <w:rFonts w:ascii="Franklin Gothic Medium" w:hAnsi="Franklin Gothic Medium" w:cstheme="minorBidi"/>
          <w:bCs/>
          <w:sz w:val="24"/>
          <w:szCs w:val="24"/>
        </w:rPr>
      </w:pPr>
      <w:r w:rsidRPr="00EC30C2">
        <w:rPr>
          <w:rFonts w:ascii="Franklin Gothic Medium" w:hAnsi="Franklin Gothic Medium" w:cstheme="minorBidi"/>
          <w:bCs/>
          <w:sz w:val="24"/>
          <w:szCs w:val="24"/>
        </w:rPr>
        <w:t>Η πτωτική τάση του κενού ΦΠΑ στην Ελλάδα συνεχίζεται, με τις προκαταρκτικές εκτιμήσεις για το 2024 να προβλέπουν περαιτέρω μείωσή του στο 9,0%.</w:t>
      </w:r>
      <w:r w:rsidR="00853781">
        <w:rPr>
          <w:rFonts w:ascii="Franklin Gothic Medium" w:hAnsi="Franklin Gothic Medium" w:cstheme="minorBidi"/>
          <w:bCs/>
          <w:sz w:val="24"/>
          <w:szCs w:val="24"/>
        </w:rPr>
        <w:t xml:space="preserve"> </w:t>
      </w:r>
    </w:p>
    <w:p w:rsidR="00EC30C2" w:rsidRDefault="00EC30C2" w:rsidP="00EC30C2">
      <w:pPr>
        <w:spacing w:before="120" w:after="120" w:line="276" w:lineRule="auto"/>
        <w:jc w:val="both"/>
        <w:rPr>
          <w:rFonts w:ascii="Franklin Gothic Medium" w:hAnsi="Franklin Gothic Medium" w:cstheme="minorBidi"/>
          <w:bCs/>
          <w:sz w:val="24"/>
          <w:szCs w:val="24"/>
        </w:rPr>
      </w:pPr>
      <w:r w:rsidRPr="00EC30C2">
        <w:rPr>
          <w:rFonts w:ascii="Franklin Gothic Medium" w:hAnsi="Franklin Gothic Medium" w:cstheme="minorBidi"/>
          <w:bCs/>
          <w:sz w:val="24"/>
          <w:szCs w:val="24"/>
        </w:rPr>
        <w:t>Στο παρακάτω γράφημα αποτυπώνεται η εξέλιξη του κενού ΦΠΑ στην Ελλάδα, καθώς και ο μέσος όρος του κενού ΦΠΑ σε επίπεδο Ευρωπαϊκής Ένωσης.</w:t>
      </w:r>
    </w:p>
    <w:p w:rsidR="00EC30C2" w:rsidRPr="00EC30C2" w:rsidRDefault="00EC30C2" w:rsidP="00EC30C2">
      <w:pPr>
        <w:spacing w:before="120" w:after="120" w:line="276" w:lineRule="auto"/>
        <w:jc w:val="both"/>
        <w:rPr>
          <w:rFonts w:ascii="Franklin Gothic Medium" w:hAnsi="Franklin Gothic Medium" w:cstheme="minorBidi"/>
          <w:b/>
          <w:bCs/>
          <w:sz w:val="24"/>
          <w:szCs w:val="24"/>
        </w:rPr>
      </w:pPr>
    </w:p>
    <w:p w:rsidR="00EC30C2" w:rsidRPr="00EC30C2" w:rsidRDefault="00EC30C2" w:rsidP="00EC30C2">
      <w:pPr>
        <w:spacing w:before="120" w:after="120" w:line="276" w:lineRule="auto"/>
        <w:jc w:val="center"/>
        <w:rPr>
          <w:rFonts w:ascii="Franklin Gothic Medium" w:hAnsi="Franklin Gothic Medium" w:cstheme="minorBidi"/>
          <w:b/>
          <w:bCs/>
          <w:sz w:val="24"/>
          <w:szCs w:val="24"/>
        </w:rPr>
      </w:pPr>
      <w:r w:rsidRPr="00EC30C2">
        <w:rPr>
          <w:rFonts w:ascii="Franklin Gothic Medium" w:hAnsi="Franklin Gothic Medium" w:cstheme="minorBidi"/>
          <w:b/>
          <w:bCs/>
          <w:sz w:val="24"/>
          <w:szCs w:val="24"/>
        </w:rPr>
        <w:t xml:space="preserve">Γράφημα </w:t>
      </w:r>
      <w:r w:rsidR="0093541D">
        <w:rPr>
          <w:rFonts w:ascii="Franklin Gothic Medium" w:hAnsi="Franklin Gothic Medium" w:cstheme="minorBidi"/>
          <w:b/>
          <w:bCs/>
          <w:sz w:val="24"/>
          <w:szCs w:val="24"/>
        </w:rPr>
        <w:t>-</w:t>
      </w:r>
      <w:r w:rsidRPr="00EC30C2">
        <w:rPr>
          <w:rFonts w:ascii="Franklin Gothic Medium" w:hAnsi="Franklin Gothic Medium" w:cstheme="minorBidi"/>
          <w:b/>
          <w:bCs/>
          <w:sz w:val="24"/>
          <w:szCs w:val="24"/>
        </w:rPr>
        <w:t xml:space="preserve"> Εξέλιξη του κενού ΦΠΑ στην Ελλάδα σε σύγκριση με τον μέσο όρο του κενού ΦΠΑ των κρατών μελών της ΕΕ.</w:t>
      </w:r>
    </w:p>
    <w:p w:rsidR="00EC30C2" w:rsidRPr="00EC30C2" w:rsidRDefault="00EC30C2" w:rsidP="00EC30C2">
      <w:pPr>
        <w:spacing w:before="120" w:after="120" w:line="276" w:lineRule="auto"/>
        <w:jc w:val="both"/>
        <w:rPr>
          <w:rFonts w:ascii="Franklin Gothic Medium" w:hAnsi="Franklin Gothic Medium" w:cstheme="minorBidi"/>
          <w:bCs/>
          <w:sz w:val="24"/>
          <w:szCs w:val="24"/>
        </w:rPr>
      </w:pPr>
      <w:r>
        <w:rPr>
          <w:noProof/>
        </w:rPr>
        <w:drawing>
          <wp:inline distT="0" distB="0" distL="0" distR="0" wp14:anchorId="7FF305B3" wp14:editId="292E97F1">
            <wp:extent cx="5274310" cy="2736611"/>
            <wp:effectExtent l="0" t="0" r="2540" b="6985"/>
            <wp:docPr id="2" name="Γράφημα 2">
              <a:extLst xmlns:a="http://schemas.openxmlformats.org/drawingml/2006/main">
                <a:ext uri="{FF2B5EF4-FFF2-40B4-BE49-F238E27FC236}">
                  <a16:creationId xmlns:a16="http://schemas.microsoft.com/office/drawing/2014/main" id="{2C0C7367-ADE7-163C-9BE0-6C9F2756FF5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EC30C2" w:rsidRPr="00853781" w:rsidRDefault="00853781" w:rsidP="00EC30C2">
      <w:pPr>
        <w:spacing w:before="120" w:after="120" w:line="276" w:lineRule="auto"/>
        <w:jc w:val="both"/>
        <w:rPr>
          <w:rFonts w:ascii="Franklin Gothic Medium" w:hAnsi="Franklin Gothic Medium" w:cstheme="minorBidi"/>
          <w:bCs/>
          <w:sz w:val="20"/>
          <w:szCs w:val="20"/>
          <w:lang w:val="en-US"/>
        </w:rPr>
      </w:pPr>
      <w:r w:rsidRPr="00853781">
        <w:rPr>
          <w:rFonts w:ascii="Franklin Gothic Medium" w:hAnsi="Franklin Gothic Medium" w:cstheme="minorBidi"/>
          <w:bCs/>
          <w:sz w:val="20"/>
          <w:szCs w:val="20"/>
        </w:rPr>
        <w:t>Πηγή</w:t>
      </w:r>
      <w:r w:rsidRPr="00853781">
        <w:rPr>
          <w:rFonts w:ascii="Franklin Gothic Medium" w:hAnsi="Franklin Gothic Medium" w:cstheme="minorBidi"/>
          <w:bCs/>
          <w:sz w:val="20"/>
          <w:szCs w:val="20"/>
          <w:lang w:val="en-US"/>
        </w:rPr>
        <w:t xml:space="preserve">: European Commission: Directorate-General for Taxation and Customs Union, CASE, </w:t>
      </w:r>
      <w:proofErr w:type="spellStart"/>
      <w:r w:rsidRPr="00853781">
        <w:rPr>
          <w:rFonts w:ascii="Franklin Gothic Medium" w:hAnsi="Franklin Gothic Medium" w:cstheme="minorBidi"/>
          <w:bCs/>
          <w:sz w:val="20"/>
          <w:szCs w:val="20"/>
          <w:lang w:val="en-US"/>
        </w:rPr>
        <w:t>Intellera</w:t>
      </w:r>
      <w:proofErr w:type="spellEnd"/>
      <w:r w:rsidRPr="00853781">
        <w:rPr>
          <w:rFonts w:ascii="Franklin Gothic Medium" w:hAnsi="Franklin Gothic Medium" w:cstheme="minorBidi"/>
          <w:bCs/>
          <w:sz w:val="20"/>
          <w:szCs w:val="20"/>
          <w:lang w:val="en-US"/>
        </w:rPr>
        <w:t xml:space="preserve">, </w:t>
      </w:r>
      <w:proofErr w:type="spellStart"/>
      <w:r w:rsidRPr="00853781">
        <w:rPr>
          <w:rFonts w:ascii="Franklin Gothic Medium" w:hAnsi="Franklin Gothic Medium" w:cstheme="minorBidi"/>
          <w:bCs/>
          <w:sz w:val="20"/>
          <w:szCs w:val="20"/>
          <w:lang w:val="en-US"/>
        </w:rPr>
        <w:t>Syntesia</w:t>
      </w:r>
      <w:proofErr w:type="spellEnd"/>
      <w:r w:rsidRPr="00853781">
        <w:rPr>
          <w:rFonts w:ascii="Franklin Gothic Medium" w:hAnsi="Franklin Gothic Medium" w:cstheme="minorBidi"/>
          <w:bCs/>
          <w:sz w:val="20"/>
          <w:szCs w:val="20"/>
          <w:lang w:val="en-US"/>
        </w:rPr>
        <w:t xml:space="preserve">, </w:t>
      </w:r>
      <w:proofErr w:type="spellStart"/>
      <w:r w:rsidRPr="00853781">
        <w:rPr>
          <w:rFonts w:ascii="Franklin Gothic Medium" w:hAnsi="Franklin Gothic Medium" w:cstheme="minorBidi"/>
          <w:bCs/>
          <w:sz w:val="20"/>
          <w:szCs w:val="20"/>
          <w:lang w:val="en-US"/>
        </w:rPr>
        <w:t>Poniatowski</w:t>
      </w:r>
      <w:proofErr w:type="spellEnd"/>
      <w:r w:rsidRPr="00853781">
        <w:rPr>
          <w:rFonts w:ascii="Franklin Gothic Medium" w:hAnsi="Franklin Gothic Medium" w:cstheme="minorBidi"/>
          <w:bCs/>
          <w:sz w:val="20"/>
          <w:szCs w:val="20"/>
          <w:lang w:val="en-US"/>
        </w:rPr>
        <w:t xml:space="preserve">, G. et al., VAT gap in Europe – Report 2025, Publications Office of the European Union, 2025, </w:t>
      </w:r>
      <w:r w:rsidR="006C01E5">
        <w:fldChar w:fldCharType="begin"/>
      </w:r>
      <w:r w:rsidR="006C01E5" w:rsidRPr="006C01E5">
        <w:rPr>
          <w:lang w:val="en-US"/>
        </w:rPr>
        <w:instrText xml:space="preserve"> HYPERLINK "https://data.europa.eu/doi/10.2778/7868422" </w:instrText>
      </w:r>
      <w:r w:rsidR="006C01E5">
        <w:fldChar w:fldCharType="separate"/>
      </w:r>
      <w:r w:rsidRPr="00853781">
        <w:rPr>
          <w:rStyle w:val="-"/>
          <w:rFonts w:ascii="Franklin Gothic Medium" w:hAnsi="Franklin Gothic Medium" w:cstheme="minorBidi"/>
          <w:bCs/>
          <w:sz w:val="20"/>
          <w:szCs w:val="20"/>
          <w:lang w:val="en-US"/>
        </w:rPr>
        <w:t>https://data.europa.eu/doi/10.2778/7868422</w:t>
      </w:r>
      <w:r w:rsidR="006C01E5">
        <w:rPr>
          <w:rStyle w:val="-"/>
          <w:rFonts w:ascii="Franklin Gothic Medium" w:hAnsi="Franklin Gothic Medium" w:cstheme="minorBidi"/>
          <w:bCs/>
          <w:sz w:val="20"/>
          <w:szCs w:val="20"/>
          <w:lang w:val="en-US"/>
        </w:rPr>
        <w:fldChar w:fldCharType="end"/>
      </w:r>
    </w:p>
    <w:p w:rsidR="00853781" w:rsidRPr="00853781" w:rsidRDefault="00853781" w:rsidP="00EC30C2">
      <w:pPr>
        <w:spacing w:before="120" w:after="120" w:line="276" w:lineRule="auto"/>
        <w:jc w:val="both"/>
        <w:rPr>
          <w:rFonts w:ascii="Franklin Gothic Medium" w:hAnsi="Franklin Gothic Medium" w:cstheme="minorBidi"/>
          <w:bCs/>
          <w:lang w:val="en-US"/>
        </w:rPr>
      </w:pPr>
    </w:p>
    <w:p w:rsidR="00EC30C2" w:rsidRPr="00EC30C2" w:rsidRDefault="00EC30C2" w:rsidP="00EC30C2">
      <w:pPr>
        <w:spacing w:before="120" w:after="120" w:line="276" w:lineRule="auto"/>
        <w:jc w:val="both"/>
        <w:rPr>
          <w:rFonts w:ascii="Franklin Gothic Medium" w:hAnsi="Franklin Gothic Medium" w:cstheme="minorBidi"/>
          <w:bCs/>
          <w:sz w:val="24"/>
          <w:szCs w:val="24"/>
        </w:rPr>
      </w:pPr>
      <w:r w:rsidRPr="00EC30C2">
        <w:rPr>
          <w:rFonts w:ascii="Franklin Gothic Medium" w:hAnsi="Franklin Gothic Medium" w:cstheme="minorBidi"/>
          <w:bCs/>
          <w:sz w:val="24"/>
          <w:szCs w:val="24"/>
        </w:rPr>
        <w:t>Η συνεχής πρόοδος είναι αποτέλεσμα της συστηματικής εφαρμογής των στρατηγικών και επιχειρησιακών σχεδίων της ΑΑΔΕ. Το Στρατηγικό Σχέδιο 2025–2029 και το Επιχειρησιακό Πρόγραμμα 2025 συνεχίζουν και ενισχύουν αυτή την πορεία, δίνοντας έμφαση στην:</w:t>
      </w:r>
    </w:p>
    <w:p w:rsidR="00EC30C2" w:rsidRPr="00EC30C2" w:rsidRDefault="00EC30C2" w:rsidP="00EC30C2">
      <w:pPr>
        <w:pStyle w:val="a3"/>
        <w:numPr>
          <w:ilvl w:val="0"/>
          <w:numId w:val="33"/>
        </w:numPr>
        <w:spacing w:before="120" w:after="120" w:line="276" w:lineRule="auto"/>
        <w:jc w:val="both"/>
        <w:rPr>
          <w:rFonts w:ascii="Franklin Gothic Medium" w:hAnsi="Franklin Gothic Medium" w:cstheme="minorBidi"/>
          <w:bCs/>
          <w:sz w:val="24"/>
          <w:szCs w:val="24"/>
        </w:rPr>
      </w:pPr>
      <w:r w:rsidRPr="00EC30C2">
        <w:rPr>
          <w:rFonts w:ascii="Franklin Gothic Medium" w:hAnsi="Franklin Gothic Medium" w:cstheme="minorBidi"/>
          <w:bCs/>
          <w:sz w:val="24"/>
          <w:szCs w:val="24"/>
        </w:rPr>
        <w:t xml:space="preserve">Περαιτέρω </w:t>
      </w:r>
      <w:proofErr w:type="spellStart"/>
      <w:r w:rsidRPr="00EC30C2">
        <w:rPr>
          <w:rFonts w:ascii="Franklin Gothic Medium" w:hAnsi="Franklin Gothic Medium" w:cstheme="minorBidi"/>
          <w:bCs/>
          <w:sz w:val="24"/>
          <w:szCs w:val="24"/>
        </w:rPr>
        <w:t>ψηφιοποίηση</w:t>
      </w:r>
      <w:proofErr w:type="spellEnd"/>
      <w:r w:rsidRPr="00EC30C2">
        <w:rPr>
          <w:rFonts w:ascii="Franklin Gothic Medium" w:hAnsi="Franklin Gothic Medium" w:cstheme="minorBidi"/>
          <w:bCs/>
          <w:sz w:val="24"/>
          <w:szCs w:val="24"/>
        </w:rPr>
        <w:t xml:space="preserve"> διαδικασιών.</w:t>
      </w:r>
    </w:p>
    <w:p w:rsidR="00EC30C2" w:rsidRPr="00EC30C2" w:rsidRDefault="00EC30C2" w:rsidP="00EC30C2">
      <w:pPr>
        <w:pStyle w:val="a3"/>
        <w:numPr>
          <w:ilvl w:val="0"/>
          <w:numId w:val="33"/>
        </w:numPr>
        <w:spacing w:before="120" w:after="120" w:line="276" w:lineRule="auto"/>
        <w:jc w:val="both"/>
        <w:rPr>
          <w:rFonts w:ascii="Franklin Gothic Medium" w:hAnsi="Franklin Gothic Medium" w:cstheme="minorBidi"/>
          <w:bCs/>
          <w:sz w:val="24"/>
          <w:szCs w:val="24"/>
        </w:rPr>
      </w:pPr>
      <w:r w:rsidRPr="00EC30C2">
        <w:rPr>
          <w:rFonts w:ascii="Franklin Gothic Medium" w:hAnsi="Franklin Gothic Medium" w:cstheme="minorBidi"/>
          <w:bCs/>
          <w:sz w:val="24"/>
          <w:szCs w:val="24"/>
        </w:rPr>
        <w:t>Αξιοποίηση νέων τεχνολογιών και προηγμένων εργαλείων ανάλυσης δεδομένων (</w:t>
      </w:r>
      <w:proofErr w:type="spellStart"/>
      <w:r w:rsidRPr="00EC30C2">
        <w:rPr>
          <w:rFonts w:ascii="Franklin Gothic Medium" w:hAnsi="Franklin Gothic Medium" w:cstheme="minorBidi"/>
          <w:bCs/>
          <w:sz w:val="24"/>
          <w:szCs w:val="24"/>
        </w:rPr>
        <w:t>Data</w:t>
      </w:r>
      <w:proofErr w:type="spellEnd"/>
      <w:r w:rsidRPr="00EC30C2">
        <w:rPr>
          <w:rFonts w:ascii="Franklin Gothic Medium" w:hAnsi="Franklin Gothic Medium" w:cstheme="minorBidi"/>
          <w:bCs/>
          <w:sz w:val="24"/>
          <w:szCs w:val="24"/>
        </w:rPr>
        <w:t xml:space="preserve"> </w:t>
      </w:r>
      <w:proofErr w:type="spellStart"/>
      <w:r w:rsidRPr="00EC30C2">
        <w:rPr>
          <w:rFonts w:ascii="Franklin Gothic Medium" w:hAnsi="Franklin Gothic Medium" w:cstheme="minorBidi"/>
          <w:bCs/>
          <w:sz w:val="24"/>
          <w:szCs w:val="24"/>
        </w:rPr>
        <w:t>Analytics</w:t>
      </w:r>
      <w:proofErr w:type="spellEnd"/>
      <w:r w:rsidRPr="00EC30C2">
        <w:rPr>
          <w:rFonts w:ascii="Franklin Gothic Medium" w:hAnsi="Franklin Gothic Medium" w:cstheme="minorBidi"/>
          <w:bCs/>
          <w:sz w:val="24"/>
          <w:szCs w:val="24"/>
        </w:rPr>
        <w:t>) για την ανίχνευση φοροδιαφυγής.</w:t>
      </w:r>
    </w:p>
    <w:p w:rsidR="00EC30C2" w:rsidRPr="00EC30C2" w:rsidRDefault="00EC30C2" w:rsidP="00EC30C2">
      <w:pPr>
        <w:pStyle w:val="a3"/>
        <w:numPr>
          <w:ilvl w:val="0"/>
          <w:numId w:val="33"/>
        </w:numPr>
        <w:spacing w:before="120" w:after="120" w:line="276" w:lineRule="auto"/>
        <w:jc w:val="both"/>
        <w:rPr>
          <w:rFonts w:ascii="Franklin Gothic Medium" w:hAnsi="Franklin Gothic Medium" w:cstheme="minorBidi"/>
          <w:bCs/>
          <w:sz w:val="24"/>
          <w:szCs w:val="24"/>
        </w:rPr>
      </w:pPr>
      <w:r w:rsidRPr="00EC30C2">
        <w:rPr>
          <w:rFonts w:ascii="Franklin Gothic Medium" w:hAnsi="Franklin Gothic Medium" w:cstheme="minorBidi"/>
          <w:bCs/>
          <w:sz w:val="24"/>
          <w:szCs w:val="24"/>
        </w:rPr>
        <w:t>Αύξηση ηλεκτρονικών διασταυρώσεων συναλλαγών.</w:t>
      </w:r>
    </w:p>
    <w:p w:rsidR="00EC30C2" w:rsidRPr="00EC30C2" w:rsidRDefault="00EC30C2" w:rsidP="00EC30C2">
      <w:pPr>
        <w:pStyle w:val="a3"/>
        <w:numPr>
          <w:ilvl w:val="0"/>
          <w:numId w:val="33"/>
        </w:numPr>
        <w:spacing w:before="120" w:after="120" w:line="276" w:lineRule="auto"/>
        <w:jc w:val="both"/>
        <w:rPr>
          <w:rFonts w:ascii="Franklin Gothic Medium" w:hAnsi="Franklin Gothic Medium" w:cstheme="minorBidi"/>
          <w:bCs/>
          <w:sz w:val="24"/>
          <w:szCs w:val="24"/>
        </w:rPr>
      </w:pPr>
      <w:r w:rsidRPr="00EC30C2">
        <w:rPr>
          <w:rFonts w:ascii="Franklin Gothic Medium" w:hAnsi="Franklin Gothic Medium" w:cstheme="minorBidi"/>
          <w:bCs/>
          <w:sz w:val="24"/>
          <w:szCs w:val="24"/>
        </w:rPr>
        <w:t>Ενίσχυση της οικειοθελούς συμμόρφωσης των φορολογουμένων.</w:t>
      </w:r>
    </w:p>
    <w:p w:rsidR="00EC30C2" w:rsidRPr="00EC30C2" w:rsidRDefault="00EC30C2" w:rsidP="00EC30C2">
      <w:pPr>
        <w:spacing w:before="120" w:after="120" w:line="276" w:lineRule="auto"/>
        <w:jc w:val="both"/>
        <w:rPr>
          <w:rFonts w:ascii="Franklin Gothic Medium" w:hAnsi="Franklin Gothic Medium" w:cstheme="minorBidi"/>
          <w:bCs/>
          <w:sz w:val="24"/>
          <w:szCs w:val="24"/>
        </w:rPr>
      </w:pPr>
    </w:p>
    <w:p w:rsidR="0085255D" w:rsidRDefault="00EC30C2" w:rsidP="00EC30C2">
      <w:pPr>
        <w:spacing w:before="120" w:after="120" w:line="276" w:lineRule="auto"/>
        <w:jc w:val="both"/>
        <w:rPr>
          <w:rFonts w:ascii="Franklin Gothic Medium" w:hAnsi="Franklin Gothic Medium" w:cstheme="minorBidi"/>
          <w:bCs/>
          <w:sz w:val="24"/>
          <w:szCs w:val="24"/>
        </w:rPr>
      </w:pPr>
      <w:r w:rsidRPr="00EC30C2">
        <w:rPr>
          <w:rFonts w:ascii="Franklin Gothic Medium" w:hAnsi="Franklin Gothic Medium" w:cstheme="minorBidi"/>
          <w:bCs/>
          <w:sz w:val="24"/>
          <w:szCs w:val="24"/>
        </w:rPr>
        <w:t xml:space="preserve">Όπως δήλωσε ο Διοικητής της ΑΑΔΕ, Γιώργος </w:t>
      </w:r>
      <w:proofErr w:type="spellStart"/>
      <w:r w:rsidRPr="00EC30C2">
        <w:rPr>
          <w:rFonts w:ascii="Franklin Gothic Medium" w:hAnsi="Franklin Gothic Medium" w:cstheme="minorBidi"/>
          <w:bCs/>
          <w:sz w:val="24"/>
          <w:szCs w:val="24"/>
        </w:rPr>
        <w:t>Πιτσιλής</w:t>
      </w:r>
      <w:proofErr w:type="spellEnd"/>
      <w:r w:rsidRPr="00EC30C2">
        <w:rPr>
          <w:rFonts w:ascii="Franklin Gothic Medium" w:hAnsi="Franklin Gothic Medium" w:cstheme="minorBidi"/>
          <w:bCs/>
          <w:sz w:val="24"/>
          <w:szCs w:val="24"/>
        </w:rPr>
        <w:t>, «Η Ανεξάρτητη Αρχή Δημοσίων Εσόδων, πιστή στη δέσμευση της συνεχίζει με συνέπεια και ένταση τις προσπάθειες για περαιτέρω μείωση του Κενού ΦΠΑ, συμβάλλοντας καθοριστικά στην ενίσχυση των δημόσιων εσόδων, στη στήριξη της ελληνικής οικονομίας και στην αποκατάσταση των συνθηκών υγιούς ανταγωνισμού στην αγορά».</w:t>
      </w:r>
    </w:p>
    <w:p w:rsidR="00C63404" w:rsidRDefault="00C63404" w:rsidP="0008580D">
      <w:pPr>
        <w:spacing w:before="120" w:after="120" w:line="276" w:lineRule="auto"/>
        <w:jc w:val="both"/>
        <w:rPr>
          <w:rFonts w:ascii="Franklin Gothic Medium" w:hAnsi="Franklin Gothic Medium" w:cstheme="minorBidi"/>
          <w:bCs/>
          <w:sz w:val="24"/>
          <w:szCs w:val="24"/>
        </w:rPr>
      </w:pPr>
    </w:p>
    <w:p w:rsidR="00C63404" w:rsidRPr="0008580D" w:rsidRDefault="00C63404" w:rsidP="00C63404">
      <w:pPr>
        <w:spacing w:before="120" w:after="120" w:line="276" w:lineRule="auto"/>
        <w:jc w:val="center"/>
        <w:rPr>
          <w:rFonts w:ascii="Franklin Gothic Medium" w:hAnsi="Franklin Gothic Medium" w:cstheme="minorBidi"/>
          <w:bCs/>
          <w:sz w:val="24"/>
          <w:szCs w:val="24"/>
        </w:rPr>
      </w:pPr>
    </w:p>
    <w:sectPr w:rsidR="00C63404" w:rsidRPr="0008580D" w:rsidSect="00BA6F6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Franklin Gothic Medium">
    <w:altName w:val="Franklin Gothic"/>
    <w:panose1 w:val="020B0603020102020204"/>
    <w:charset w:val="A1"/>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A6C4A"/>
    <w:multiLevelType w:val="multilevel"/>
    <w:tmpl w:val="617A1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A47871"/>
    <w:multiLevelType w:val="hybridMultilevel"/>
    <w:tmpl w:val="8B9663C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B8E79C8"/>
    <w:multiLevelType w:val="multilevel"/>
    <w:tmpl w:val="722C7FC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DEE081C"/>
    <w:multiLevelType w:val="multilevel"/>
    <w:tmpl w:val="71B496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4918D3"/>
    <w:multiLevelType w:val="hybridMultilevel"/>
    <w:tmpl w:val="F5DE0E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6195F01"/>
    <w:multiLevelType w:val="multilevel"/>
    <w:tmpl w:val="01A21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9F0E7F"/>
    <w:multiLevelType w:val="hybridMultilevel"/>
    <w:tmpl w:val="3AEC0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4062B2"/>
    <w:multiLevelType w:val="multilevel"/>
    <w:tmpl w:val="365CF30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44070C4"/>
    <w:multiLevelType w:val="multilevel"/>
    <w:tmpl w:val="C172B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502C62"/>
    <w:multiLevelType w:val="hybridMultilevel"/>
    <w:tmpl w:val="DB20E7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31194150"/>
    <w:multiLevelType w:val="hybridMultilevel"/>
    <w:tmpl w:val="D568930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39C33638"/>
    <w:multiLevelType w:val="hybridMultilevel"/>
    <w:tmpl w:val="8CBC7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E2393F"/>
    <w:multiLevelType w:val="hybridMultilevel"/>
    <w:tmpl w:val="A454B47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3B2D72CF"/>
    <w:multiLevelType w:val="multilevel"/>
    <w:tmpl w:val="68620B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B340C25"/>
    <w:multiLevelType w:val="hybridMultilevel"/>
    <w:tmpl w:val="1D7ED45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3CED7F10"/>
    <w:multiLevelType w:val="hybridMultilevel"/>
    <w:tmpl w:val="209EA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D0590E"/>
    <w:multiLevelType w:val="multilevel"/>
    <w:tmpl w:val="6DA829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41B03580"/>
    <w:multiLevelType w:val="multilevel"/>
    <w:tmpl w:val="63FC4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9E5550"/>
    <w:multiLevelType w:val="multilevel"/>
    <w:tmpl w:val="55B8C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1E4BE3"/>
    <w:multiLevelType w:val="hybridMultilevel"/>
    <w:tmpl w:val="22742A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45B15C3E"/>
    <w:multiLevelType w:val="hybridMultilevel"/>
    <w:tmpl w:val="0158D0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467E22B7"/>
    <w:multiLevelType w:val="multilevel"/>
    <w:tmpl w:val="19B8F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3D3A31"/>
    <w:multiLevelType w:val="hybridMultilevel"/>
    <w:tmpl w:val="B4E8C95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47D32650"/>
    <w:multiLevelType w:val="hybridMultilevel"/>
    <w:tmpl w:val="0A0828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4AF37E16"/>
    <w:multiLevelType w:val="hybridMultilevel"/>
    <w:tmpl w:val="E07696C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4E5D0D72"/>
    <w:multiLevelType w:val="hybridMultilevel"/>
    <w:tmpl w:val="77EAD65C"/>
    <w:lvl w:ilvl="0" w:tplc="04080001">
      <w:start w:val="1"/>
      <w:numFmt w:val="bullet"/>
      <w:lvlText w:val=""/>
      <w:lvlJc w:val="left"/>
      <w:pPr>
        <w:ind w:left="502" w:hanging="360"/>
      </w:pPr>
      <w:rPr>
        <w:rFonts w:ascii="Symbol" w:hAnsi="Symbol" w:hint="default"/>
      </w:rPr>
    </w:lvl>
    <w:lvl w:ilvl="1" w:tplc="04080003" w:tentative="1">
      <w:start w:val="1"/>
      <w:numFmt w:val="bullet"/>
      <w:lvlText w:val="o"/>
      <w:lvlJc w:val="left"/>
      <w:pPr>
        <w:ind w:left="1222" w:hanging="360"/>
      </w:pPr>
      <w:rPr>
        <w:rFonts w:ascii="Courier New" w:hAnsi="Courier New" w:cs="Courier New" w:hint="default"/>
      </w:rPr>
    </w:lvl>
    <w:lvl w:ilvl="2" w:tplc="04080005" w:tentative="1">
      <w:start w:val="1"/>
      <w:numFmt w:val="bullet"/>
      <w:lvlText w:val=""/>
      <w:lvlJc w:val="left"/>
      <w:pPr>
        <w:ind w:left="1942" w:hanging="360"/>
      </w:pPr>
      <w:rPr>
        <w:rFonts w:ascii="Wingdings" w:hAnsi="Wingdings" w:hint="default"/>
      </w:rPr>
    </w:lvl>
    <w:lvl w:ilvl="3" w:tplc="04080001" w:tentative="1">
      <w:start w:val="1"/>
      <w:numFmt w:val="bullet"/>
      <w:lvlText w:val=""/>
      <w:lvlJc w:val="left"/>
      <w:pPr>
        <w:ind w:left="2662" w:hanging="360"/>
      </w:pPr>
      <w:rPr>
        <w:rFonts w:ascii="Symbol" w:hAnsi="Symbol" w:hint="default"/>
      </w:rPr>
    </w:lvl>
    <w:lvl w:ilvl="4" w:tplc="04080003" w:tentative="1">
      <w:start w:val="1"/>
      <w:numFmt w:val="bullet"/>
      <w:lvlText w:val="o"/>
      <w:lvlJc w:val="left"/>
      <w:pPr>
        <w:ind w:left="3382" w:hanging="360"/>
      </w:pPr>
      <w:rPr>
        <w:rFonts w:ascii="Courier New" w:hAnsi="Courier New" w:cs="Courier New" w:hint="default"/>
      </w:rPr>
    </w:lvl>
    <w:lvl w:ilvl="5" w:tplc="04080005" w:tentative="1">
      <w:start w:val="1"/>
      <w:numFmt w:val="bullet"/>
      <w:lvlText w:val=""/>
      <w:lvlJc w:val="left"/>
      <w:pPr>
        <w:ind w:left="4102" w:hanging="360"/>
      </w:pPr>
      <w:rPr>
        <w:rFonts w:ascii="Wingdings" w:hAnsi="Wingdings" w:hint="default"/>
      </w:rPr>
    </w:lvl>
    <w:lvl w:ilvl="6" w:tplc="04080001" w:tentative="1">
      <w:start w:val="1"/>
      <w:numFmt w:val="bullet"/>
      <w:lvlText w:val=""/>
      <w:lvlJc w:val="left"/>
      <w:pPr>
        <w:ind w:left="4822" w:hanging="360"/>
      </w:pPr>
      <w:rPr>
        <w:rFonts w:ascii="Symbol" w:hAnsi="Symbol" w:hint="default"/>
      </w:rPr>
    </w:lvl>
    <w:lvl w:ilvl="7" w:tplc="04080003" w:tentative="1">
      <w:start w:val="1"/>
      <w:numFmt w:val="bullet"/>
      <w:lvlText w:val="o"/>
      <w:lvlJc w:val="left"/>
      <w:pPr>
        <w:ind w:left="5542" w:hanging="360"/>
      </w:pPr>
      <w:rPr>
        <w:rFonts w:ascii="Courier New" w:hAnsi="Courier New" w:cs="Courier New" w:hint="default"/>
      </w:rPr>
    </w:lvl>
    <w:lvl w:ilvl="8" w:tplc="04080005" w:tentative="1">
      <w:start w:val="1"/>
      <w:numFmt w:val="bullet"/>
      <w:lvlText w:val=""/>
      <w:lvlJc w:val="left"/>
      <w:pPr>
        <w:ind w:left="6262" w:hanging="360"/>
      </w:pPr>
      <w:rPr>
        <w:rFonts w:ascii="Wingdings" w:hAnsi="Wingdings" w:hint="default"/>
      </w:rPr>
    </w:lvl>
  </w:abstractNum>
  <w:abstractNum w:abstractNumId="26" w15:restartNumberingAfterBreak="0">
    <w:nsid w:val="524448A6"/>
    <w:multiLevelType w:val="hybridMultilevel"/>
    <w:tmpl w:val="FE04890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528460D8"/>
    <w:multiLevelType w:val="hybridMultilevel"/>
    <w:tmpl w:val="0BEE0A1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57AC22AA"/>
    <w:multiLevelType w:val="hybridMultilevel"/>
    <w:tmpl w:val="19F8AA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582257A8"/>
    <w:multiLevelType w:val="hybridMultilevel"/>
    <w:tmpl w:val="13666F9C"/>
    <w:lvl w:ilvl="0" w:tplc="04080001">
      <w:start w:val="1"/>
      <w:numFmt w:val="bullet"/>
      <w:lvlText w:val=""/>
      <w:lvlJc w:val="left"/>
      <w:pPr>
        <w:ind w:left="502" w:hanging="360"/>
      </w:pPr>
      <w:rPr>
        <w:rFonts w:ascii="Symbol" w:hAnsi="Symbol" w:hint="default"/>
      </w:rPr>
    </w:lvl>
    <w:lvl w:ilvl="1" w:tplc="04080003" w:tentative="1">
      <w:start w:val="1"/>
      <w:numFmt w:val="bullet"/>
      <w:lvlText w:val="o"/>
      <w:lvlJc w:val="left"/>
      <w:pPr>
        <w:ind w:left="1222" w:hanging="360"/>
      </w:pPr>
      <w:rPr>
        <w:rFonts w:ascii="Courier New" w:hAnsi="Courier New" w:cs="Courier New" w:hint="default"/>
      </w:rPr>
    </w:lvl>
    <w:lvl w:ilvl="2" w:tplc="04080005" w:tentative="1">
      <w:start w:val="1"/>
      <w:numFmt w:val="bullet"/>
      <w:lvlText w:val=""/>
      <w:lvlJc w:val="left"/>
      <w:pPr>
        <w:ind w:left="1942" w:hanging="360"/>
      </w:pPr>
      <w:rPr>
        <w:rFonts w:ascii="Wingdings" w:hAnsi="Wingdings" w:hint="default"/>
      </w:rPr>
    </w:lvl>
    <w:lvl w:ilvl="3" w:tplc="04080001" w:tentative="1">
      <w:start w:val="1"/>
      <w:numFmt w:val="bullet"/>
      <w:lvlText w:val=""/>
      <w:lvlJc w:val="left"/>
      <w:pPr>
        <w:ind w:left="2662" w:hanging="360"/>
      </w:pPr>
      <w:rPr>
        <w:rFonts w:ascii="Symbol" w:hAnsi="Symbol" w:hint="default"/>
      </w:rPr>
    </w:lvl>
    <w:lvl w:ilvl="4" w:tplc="04080003" w:tentative="1">
      <w:start w:val="1"/>
      <w:numFmt w:val="bullet"/>
      <w:lvlText w:val="o"/>
      <w:lvlJc w:val="left"/>
      <w:pPr>
        <w:ind w:left="3382" w:hanging="360"/>
      </w:pPr>
      <w:rPr>
        <w:rFonts w:ascii="Courier New" w:hAnsi="Courier New" w:cs="Courier New" w:hint="default"/>
      </w:rPr>
    </w:lvl>
    <w:lvl w:ilvl="5" w:tplc="04080005" w:tentative="1">
      <w:start w:val="1"/>
      <w:numFmt w:val="bullet"/>
      <w:lvlText w:val=""/>
      <w:lvlJc w:val="left"/>
      <w:pPr>
        <w:ind w:left="4102" w:hanging="360"/>
      </w:pPr>
      <w:rPr>
        <w:rFonts w:ascii="Wingdings" w:hAnsi="Wingdings" w:hint="default"/>
      </w:rPr>
    </w:lvl>
    <w:lvl w:ilvl="6" w:tplc="04080001" w:tentative="1">
      <w:start w:val="1"/>
      <w:numFmt w:val="bullet"/>
      <w:lvlText w:val=""/>
      <w:lvlJc w:val="left"/>
      <w:pPr>
        <w:ind w:left="4822" w:hanging="360"/>
      </w:pPr>
      <w:rPr>
        <w:rFonts w:ascii="Symbol" w:hAnsi="Symbol" w:hint="default"/>
      </w:rPr>
    </w:lvl>
    <w:lvl w:ilvl="7" w:tplc="04080003" w:tentative="1">
      <w:start w:val="1"/>
      <w:numFmt w:val="bullet"/>
      <w:lvlText w:val="o"/>
      <w:lvlJc w:val="left"/>
      <w:pPr>
        <w:ind w:left="5542" w:hanging="360"/>
      </w:pPr>
      <w:rPr>
        <w:rFonts w:ascii="Courier New" w:hAnsi="Courier New" w:cs="Courier New" w:hint="default"/>
      </w:rPr>
    </w:lvl>
    <w:lvl w:ilvl="8" w:tplc="04080005" w:tentative="1">
      <w:start w:val="1"/>
      <w:numFmt w:val="bullet"/>
      <w:lvlText w:val=""/>
      <w:lvlJc w:val="left"/>
      <w:pPr>
        <w:ind w:left="6262" w:hanging="360"/>
      </w:pPr>
      <w:rPr>
        <w:rFonts w:ascii="Wingdings" w:hAnsi="Wingdings" w:hint="default"/>
      </w:rPr>
    </w:lvl>
  </w:abstractNum>
  <w:abstractNum w:abstractNumId="30" w15:restartNumberingAfterBreak="0">
    <w:nsid w:val="603465B8"/>
    <w:multiLevelType w:val="hybridMultilevel"/>
    <w:tmpl w:val="33D6074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66047975"/>
    <w:multiLevelType w:val="hybridMultilevel"/>
    <w:tmpl w:val="89E6A77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76C83310"/>
    <w:multiLevelType w:val="hybridMultilevel"/>
    <w:tmpl w:val="6588A31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7C551BEB"/>
    <w:multiLevelType w:val="multilevel"/>
    <w:tmpl w:val="665C63B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9"/>
  </w:num>
  <w:num w:numId="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28"/>
  </w:num>
  <w:num w:numId="8">
    <w:abstractNumId w:val="31"/>
  </w:num>
  <w:num w:numId="9">
    <w:abstractNumId w:val="24"/>
  </w:num>
  <w:num w:numId="10">
    <w:abstractNumId w:val="9"/>
  </w:num>
  <w:num w:numId="11">
    <w:abstractNumId w:val="30"/>
  </w:num>
  <w:num w:numId="12">
    <w:abstractNumId w:val="1"/>
  </w:num>
  <w:num w:numId="13">
    <w:abstractNumId w:val="32"/>
  </w:num>
  <w:num w:numId="14">
    <w:abstractNumId w:val="4"/>
  </w:num>
  <w:num w:numId="15">
    <w:abstractNumId w:val="20"/>
  </w:num>
  <w:num w:numId="16">
    <w:abstractNumId w:val="22"/>
  </w:num>
  <w:num w:numId="17">
    <w:abstractNumId w:val="10"/>
  </w:num>
  <w:num w:numId="18">
    <w:abstractNumId w:val="15"/>
  </w:num>
  <w:num w:numId="19">
    <w:abstractNumId w:val="6"/>
  </w:num>
  <w:num w:numId="20">
    <w:abstractNumId w:val="11"/>
  </w:num>
  <w:num w:numId="21">
    <w:abstractNumId w:val="26"/>
  </w:num>
  <w:num w:numId="22">
    <w:abstractNumId w:val="12"/>
  </w:num>
  <w:num w:numId="23">
    <w:abstractNumId w:val="27"/>
  </w:num>
  <w:num w:numId="24">
    <w:abstractNumId w:val="8"/>
  </w:num>
  <w:num w:numId="25">
    <w:abstractNumId w:val="3"/>
  </w:num>
  <w:num w:numId="26">
    <w:abstractNumId w:val="0"/>
  </w:num>
  <w:num w:numId="27">
    <w:abstractNumId w:val="17"/>
  </w:num>
  <w:num w:numId="28">
    <w:abstractNumId w:val="18"/>
  </w:num>
  <w:num w:numId="29">
    <w:abstractNumId w:val="21"/>
  </w:num>
  <w:num w:numId="30">
    <w:abstractNumId w:val="13"/>
  </w:num>
  <w:num w:numId="31">
    <w:abstractNumId w:val="5"/>
  </w:num>
  <w:num w:numId="32">
    <w:abstractNumId w:val="29"/>
  </w:num>
  <w:num w:numId="33">
    <w:abstractNumId w:val="25"/>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74B"/>
    <w:rsid w:val="00010832"/>
    <w:rsid w:val="00026375"/>
    <w:rsid w:val="00026AF4"/>
    <w:rsid w:val="0002737C"/>
    <w:rsid w:val="00051E95"/>
    <w:rsid w:val="00064436"/>
    <w:rsid w:val="00071667"/>
    <w:rsid w:val="000757F8"/>
    <w:rsid w:val="00082964"/>
    <w:rsid w:val="0008580D"/>
    <w:rsid w:val="00094E92"/>
    <w:rsid w:val="000A6204"/>
    <w:rsid w:val="000B3E31"/>
    <w:rsid w:val="000B5845"/>
    <w:rsid w:val="000C30D3"/>
    <w:rsid w:val="000D3ADB"/>
    <w:rsid w:val="000E0330"/>
    <w:rsid w:val="000E5728"/>
    <w:rsid w:val="000F380B"/>
    <w:rsid w:val="000F6D36"/>
    <w:rsid w:val="001110CC"/>
    <w:rsid w:val="00132B1E"/>
    <w:rsid w:val="001371D4"/>
    <w:rsid w:val="00150C90"/>
    <w:rsid w:val="001605E1"/>
    <w:rsid w:val="00160F1A"/>
    <w:rsid w:val="001651E8"/>
    <w:rsid w:val="001813CF"/>
    <w:rsid w:val="0018492B"/>
    <w:rsid w:val="0019625B"/>
    <w:rsid w:val="001A2054"/>
    <w:rsid w:val="001A574B"/>
    <w:rsid w:val="001C08FC"/>
    <w:rsid w:val="001D01F8"/>
    <w:rsid w:val="001D7C5A"/>
    <w:rsid w:val="001E5E03"/>
    <w:rsid w:val="001F3A88"/>
    <w:rsid w:val="001F6E93"/>
    <w:rsid w:val="00207C1F"/>
    <w:rsid w:val="00234062"/>
    <w:rsid w:val="00260D1E"/>
    <w:rsid w:val="0027049D"/>
    <w:rsid w:val="00291BFE"/>
    <w:rsid w:val="002A7283"/>
    <w:rsid w:val="002A75A4"/>
    <w:rsid w:val="002A7816"/>
    <w:rsid w:val="002B4493"/>
    <w:rsid w:val="002C2847"/>
    <w:rsid w:val="002D1AF1"/>
    <w:rsid w:val="002D279F"/>
    <w:rsid w:val="002D63D2"/>
    <w:rsid w:val="002E656E"/>
    <w:rsid w:val="002F2121"/>
    <w:rsid w:val="002F3A4A"/>
    <w:rsid w:val="002F5C1E"/>
    <w:rsid w:val="002F5D58"/>
    <w:rsid w:val="003004A8"/>
    <w:rsid w:val="00301206"/>
    <w:rsid w:val="00305807"/>
    <w:rsid w:val="00305FE2"/>
    <w:rsid w:val="00310A7C"/>
    <w:rsid w:val="00313EF1"/>
    <w:rsid w:val="003215DF"/>
    <w:rsid w:val="00330501"/>
    <w:rsid w:val="0035387A"/>
    <w:rsid w:val="00361DDE"/>
    <w:rsid w:val="00365C1B"/>
    <w:rsid w:val="00374802"/>
    <w:rsid w:val="00382146"/>
    <w:rsid w:val="003A0449"/>
    <w:rsid w:val="003A521E"/>
    <w:rsid w:val="003B0682"/>
    <w:rsid w:val="003B5AA6"/>
    <w:rsid w:val="003D6D06"/>
    <w:rsid w:val="003D73F4"/>
    <w:rsid w:val="003F1885"/>
    <w:rsid w:val="003F546A"/>
    <w:rsid w:val="00402CE3"/>
    <w:rsid w:val="00417F9F"/>
    <w:rsid w:val="00423DF6"/>
    <w:rsid w:val="0043587D"/>
    <w:rsid w:val="0048239D"/>
    <w:rsid w:val="00486AB7"/>
    <w:rsid w:val="00492355"/>
    <w:rsid w:val="00495E01"/>
    <w:rsid w:val="004B3BD7"/>
    <w:rsid w:val="004B67AE"/>
    <w:rsid w:val="004D4080"/>
    <w:rsid w:val="004D55D0"/>
    <w:rsid w:val="004E3390"/>
    <w:rsid w:val="004F2C71"/>
    <w:rsid w:val="00507EDC"/>
    <w:rsid w:val="005128E4"/>
    <w:rsid w:val="00533598"/>
    <w:rsid w:val="005469D4"/>
    <w:rsid w:val="005473F0"/>
    <w:rsid w:val="00553958"/>
    <w:rsid w:val="00553E47"/>
    <w:rsid w:val="00557769"/>
    <w:rsid w:val="00564F0D"/>
    <w:rsid w:val="00566C9A"/>
    <w:rsid w:val="0057140B"/>
    <w:rsid w:val="00581E34"/>
    <w:rsid w:val="005A690E"/>
    <w:rsid w:val="005B0107"/>
    <w:rsid w:val="005C1547"/>
    <w:rsid w:val="005F536A"/>
    <w:rsid w:val="005F79B0"/>
    <w:rsid w:val="00602DC3"/>
    <w:rsid w:val="00623D82"/>
    <w:rsid w:val="00663632"/>
    <w:rsid w:val="006822E8"/>
    <w:rsid w:val="00690530"/>
    <w:rsid w:val="006A01DD"/>
    <w:rsid w:val="006B382C"/>
    <w:rsid w:val="006C01E5"/>
    <w:rsid w:val="006D214E"/>
    <w:rsid w:val="006E5EF4"/>
    <w:rsid w:val="006E74B7"/>
    <w:rsid w:val="007100C9"/>
    <w:rsid w:val="00730AA2"/>
    <w:rsid w:val="00732B5E"/>
    <w:rsid w:val="00737377"/>
    <w:rsid w:val="0074660B"/>
    <w:rsid w:val="00761B92"/>
    <w:rsid w:val="007658D5"/>
    <w:rsid w:val="007671B3"/>
    <w:rsid w:val="00775C04"/>
    <w:rsid w:val="007917B0"/>
    <w:rsid w:val="007A2D4D"/>
    <w:rsid w:val="007B3FC4"/>
    <w:rsid w:val="007C1CE9"/>
    <w:rsid w:val="007C2949"/>
    <w:rsid w:val="007E00BF"/>
    <w:rsid w:val="007E270B"/>
    <w:rsid w:val="007F29CD"/>
    <w:rsid w:val="007F4EF3"/>
    <w:rsid w:val="00813026"/>
    <w:rsid w:val="0082755B"/>
    <w:rsid w:val="0083326D"/>
    <w:rsid w:val="0085255D"/>
    <w:rsid w:val="008529E4"/>
    <w:rsid w:val="00853781"/>
    <w:rsid w:val="00854652"/>
    <w:rsid w:val="00886DB2"/>
    <w:rsid w:val="008942F2"/>
    <w:rsid w:val="00894FE5"/>
    <w:rsid w:val="008B4699"/>
    <w:rsid w:val="008B6F61"/>
    <w:rsid w:val="008E410A"/>
    <w:rsid w:val="00906C78"/>
    <w:rsid w:val="00910BBD"/>
    <w:rsid w:val="00915C8E"/>
    <w:rsid w:val="00921BA4"/>
    <w:rsid w:val="009320A8"/>
    <w:rsid w:val="0093541D"/>
    <w:rsid w:val="009415FD"/>
    <w:rsid w:val="00952E21"/>
    <w:rsid w:val="00953BFD"/>
    <w:rsid w:val="00963CB6"/>
    <w:rsid w:val="00964D8D"/>
    <w:rsid w:val="0097616C"/>
    <w:rsid w:val="00976A9E"/>
    <w:rsid w:val="00980CF2"/>
    <w:rsid w:val="00990A6C"/>
    <w:rsid w:val="0099105E"/>
    <w:rsid w:val="00991FA7"/>
    <w:rsid w:val="0099417C"/>
    <w:rsid w:val="009A0CB3"/>
    <w:rsid w:val="009A6261"/>
    <w:rsid w:val="009B0EBA"/>
    <w:rsid w:val="009C0395"/>
    <w:rsid w:val="009C175D"/>
    <w:rsid w:val="009D2AE8"/>
    <w:rsid w:val="009F461E"/>
    <w:rsid w:val="00A02E36"/>
    <w:rsid w:val="00A03C91"/>
    <w:rsid w:val="00A072B0"/>
    <w:rsid w:val="00A43BFC"/>
    <w:rsid w:val="00A441B7"/>
    <w:rsid w:val="00A465B1"/>
    <w:rsid w:val="00A6282C"/>
    <w:rsid w:val="00A74C0B"/>
    <w:rsid w:val="00A90858"/>
    <w:rsid w:val="00A935D0"/>
    <w:rsid w:val="00A94708"/>
    <w:rsid w:val="00AA069E"/>
    <w:rsid w:val="00AA6828"/>
    <w:rsid w:val="00AE04C5"/>
    <w:rsid w:val="00AF44BF"/>
    <w:rsid w:val="00B00AE7"/>
    <w:rsid w:val="00B01F71"/>
    <w:rsid w:val="00B02467"/>
    <w:rsid w:val="00B06BB8"/>
    <w:rsid w:val="00B33886"/>
    <w:rsid w:val="00B34607"/>
    <w:rsid w:val="00B347F0"/>
    <w:rsid w:val="00B36045"/>
    <w:rsid w:val="00B368C2"/>
    <w:rsid w:val="00B37B7A"/>
    <w:rsid w:val="00B44BFE"/>
    <w:rsid w:val="00B52CF6"/>
    <w:rsid w:val="00B56188"/>
    <w:rsid w:val="00B66AC5"/>
    <w:rsid w:val="00B7504B"/>
    <w:rsid w:val="00B825A8"/>
    <w:rsid w:val="00B826F4"/>
    <w:rsid w:val="00B915CE"/>
    <w:rsid w:val="00B93F91"/>
    <w:rsid w:val="00BA6F64"/>
    <w:rsid w:val="00BB5038"/>
    <w:rsid w:val="00BB53CA"/>
    <w:rsid w:val="00BC22FD"/>
    <w:rsid w:val="00BD4B58"/>
    <w:rsid w:val="00C026A9"/>
    <w:rsid w:val="00C155EF"/>
    <w:rsid w:val="00C2608B"/>
    <w:rsid w:val="00C30F0C"/>
    <w:rsid w:val="00C31929"/>
    <w:rsid w:val="00C41BB3"/>
    <w:rsid w:val="00C43510"/>
    <w:rsid w:val="00C4448E"/>
    <w:rsid w:val="00C46B25"/>
    <w:rsid w:val="00C51CD2"/>
    <w:rsid w:val="00C57EC8"/>
    <w:rsid w:val="00C63404"/>
    <w:rsid w:val="00C736B9"/>
    <w:rsid w:val="00C77AB9"/>
    <w:rsid w:val="00C85F13"/>
    <w:rsid w:val="00C86474"/>
    <w:rsid w:val="00C87351"/>
    <w:rsid w:val="00CC4B93"/>
    <w:rsid w:val="00CC546F"/>
    <w:rsid w:val="00CD3E52"/>
    <w:rsid w:val="00CE74AB"/>
    <w:rsid w:val="00CF7DED"/>
    <w:rsid w:val="00D058FF"/>
    <w:rsid w:val="00D35822"/>
    <w:rsid w:val="00D41831"/>
    <w:rsid w:val="00D9068B"/>
    <w:rsid w:val="00D90C1C"/>
    <w:rsid w:val="00DD6ECE"/>
    <w:rsid w:val="00DE2595"/>
    <w:rsid w:val="00DE4247"/>
    <w:rsid w:val="00E03100"/>
    <w:rsid w:val="00E12B84"/>
    <w:rsid w:val="00E16CE1"/>
    <w:rsid w:val="00E37A1D"/>
    <w:rsid w:val="00E4149B"/>
    <w:rsid w:val="00E51478"/>
    <w:rsid w:val="00E51F84"/>
    <w:rsid w:val="00E701C3"/>
    <w:rsid w:val="00E833D9"/>
    <w:rsid w:val="00E90B7C"/>
    <w:rsid w:val="00E91F1C"/>
    <w:rsid w:val="00E94BB8"/>
    <w:rsid w:val="00EA2FCF"/>
    <w:rsid w:val="00EC2240"/>
    <w:rsid w:val="00EC30C2"/>
    <w:rsid w:val="00ED566C"/>
    <w:rsid w:val="00EE2F89"/>
    <w:rsid w:val="00EE3C03"/>
    <w:rsid w:val="00EE7FCE"/>
    <w:rsid w:val="00EF116B"/>
    <w:rsid w:val="00F02A11"/>
    <w:rsid w:val="00F22D6E"/>
    <w:rsid w:val="00F25194"/>
    <w:rsid w:val="00F44D70"/>
    <w:rsid w:val="00F56A9F"/>
    <w:rsid w:val="00F72E04"/>
    <w:rsid w:val="00F73BA0"/>
    <w:rsid w:val="00F76E26"/>
    <w:rsid w:val="00F83A09"/>
    <w:rsid w:val="00FA0A5A"/>
    <w:rsid w:val="00FB16D2"/>
    <w:rsid w:val="00FB376A"/>
    <w:rsid w:val="00FC2634"/>
    <w:rsid w:val="00FC2B64"/>
    <w:rsid w:val="00FD52C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161BB3-9875-4D4E-88B6-FA55E9EE2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F44BF"/>
    <w:pPr>
      <w:spacing w:after="0" w:line="240" w:lineRule="auto"/>
    </w:pPr>
    <w:rPr>
      <w:rFonts w:ascii="Calibri" w:hAnsi="Calibri" w:cs="Calibri"/>
    </w:rPr>
  </w:style>
  <w:style w:type="paragraph" w:styleId="2">
    <w:name w:val="heading 2"/>
    <w:basedOn w:val="a"/>
    <w:next w:val="a"/>
    <w:link w:val="2Char"/>
    <w:uiPriority w:val="9"/>
    <w:semiHidden/>
    <w:unhideWhenUsed/>
    <w:qFormat/>
    <w:rsid w:val="00DE259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Fiche List Paragraph,Dot pt,No Spacing1,List Paragraph Char Char Char,Indicator Text,Numbered Para 1,Bullet 1,F5 List Paragraph,Bullet Points,List Paragraph11,MAIN CONTENT,List Paragraph12,Bullet2,Bullet21,Bullet22,bl11,Yellow Bullet"/>
    <w:basedOn w:val="a"/>
    <w:link w:val="Char"/>
    <w:uiPriority w:val="34"/>
    <w:qFormat/>
    <w:rsid w:val="00A465B1"/>
    <w:pPr>
      <w:ind w:left="720"/>
      <w:contextualSpacing/>
    </w:pPr>
  </w:style>
  <w:style w:type="paragraph" w:styleId="a4">
    <w:name w:val="Balloon Text"/>
    <w:basedOn w:val="a"/>
    <w:link w:val="Char0"/>
    <w:uiPriority w:val="99"/>
    <w:semiHidden/>
    <w:unhideWhenUsed/>
    <w:rsid w:val="00AF44BF"/>
    <w:rPr>
      <w:rFonts w:ascii="Tahoma" w:hAnsi="Tahoma" w:cs="Tahoma"/>
      <w:sz w:val="16"/>
      <w:szCs w:val="16"/>
    </w:rPr>
  </w:style>
  <w:style w:type="character" w:customStyle="1" w:styleId="Char0">
    <w:name w:val="Κείμενο πλαισίου Char"/>
    <w:basedOn w:val="a0"/>
    <w:link w:val="a4"/>
    <w:uiPriority w:val="99"/>
    <w:semiHidden/>
    <w:rsid w:val="00AF44BF"/>
    <w:rPr>
      <w:rFonts w:ascii="Tahoma" w:hAnsi="Tahoma" w:cs="Tahoma"/>
      <w:sz w:val="16"/>
      <w:szCs w:val="16"/>
    </w:rPr>
  </w:style>
  <w:style w:type="paragraph" w:styleId="a5">
    <w:name w:val="Plain Text"/>
    <w:basedOn w:val="a"/>
    <w:link w:val="Char1"/>
    <w:uiPriority w:val="99"/>
    <w:unhideWhenUsed/>
    <w:rsid w:val="00094E92"/>
    <w:rPr>
      <w:rFonts w:cstheme="minorBidi"/>
      <w:szCs w:val="21"/>
    </w:rPr>
  </w:style>
  <w:style w:type="character" w:customStyle="1" w:styleId="Char1">
    <w:name w:val="Απλό κείμενο Char"/>
    <w:basedOn w:val="a0"/>
    <w:link w:val="a5"/>
    <w:uiPriority w:val="99"/>
    <w:rsid w:val="00094E92"/>
    <w:rPr>
      <w:rFonts w:ascii="Calibri" w:hAnsi="Calibri"/>
      <w:szCs w:val="21"/>
    </w:rPr>
  </w:style>
  <w:style w:type="paragraph" w:styleId="Web">
    <w:name w:val="Normal (Web)"/>
    <w:basedOn w:val="a"/>
    <w:uiPriority w:val="99"/>
    <w:semiHidden/>
    <w:unhideWhenUsed/>
    <w:rsid w:val="001A2054"/>
    <w:pPr>
      <w:spacing w:before="100" w:beforeAutospacing="1" w:after="100" w:afterAutospacing="1"/>
    </w:pPr>
    <w:rPr>
      <w:lang w:eastAsia="el-GR"/>
    </w:rPr>
  </w:style>
  <w:style w:type="character" w:styleId="-">
    <w:name w:val="Hyperlink"/>
    <w:basedOn w:val="a0"/>
    <w:uiPriority w:val="99"/>
    <w:unhideWhenUsed/>
    <w:rsid w:val="00F73BA0"/>
    <w:rPr>
      <w:color w:val="0000FF"/>
      <w:u w:val="single"/>
    </w:rPr>
  </w:style>
  <w:style w:type="character" w:customStyle="1" w:styleId="Char">
    <w:name w:val="Παράγραφος λίστας Char"/>
    <w:aliases w:val="Fiche List Paragraph Char,Dot pt Char,No Spacing1 Char,List Paragraph Char Char Char Char,Indicator Text Char,Numbered Para 1 Char,Bullet 1 Char,F5 List Paragraph Char,Bullet Points Char,List Paragraph11 Char,MAIN CONTENT Char"/>
    <w:link w:val="a3"/>
    <w:uiPriority w:val="34"/>
    <w:qFormat/>
    <w:rsid w:val="00051E95"/>
    <w:rPr>
      <w:rFonts w:ascii="Calibri" w:hAnsi="Calibri" w:cs="Calibri"/>
    </w:rPr>
  </w:style>
  <w:style w:type="character" w:styleId="a6">
    <w:name w:val="annotation reference"/>
    <w:basedOn w:val="a0"/>
    <w:uiPriority w:val="99"/>
    <w:semiHidden/>
    <w:unhideWhenUsed/>
    <w:rsid w:val="00492355"/>
    <w:rPr>
      <w:sz w:val="16"/>
      <w:szCs w:val="16"/>
    </w:rPr>
  </w:style>
  <w:style w:type="paragraph" w:styleId="a7">
    <w:name w:val="annotation text"/>
    <w:basedOn w:val="a"/>
    <w:link w:val="Char2"/>
    <w:uiPriority w:val="99"/>
    <w:semiHidden/>
    <w:unhideWhenUsed/>
    <w:rsid w:val="00492355"/>
    <w:rPr>
      <w:sz w:val="20"/>
      <w:szCs w:val="20"/>
    </w:rPr>
  </w:style>
  <w:style w:type="character" w:customStyle="1" w:styleId="Char2">
    <w:name w:val="Κείμενο σχολίου Char"/>
    <w:basedOn w:val="a0"/>
    <w:link w:val="a7"/>
    <w:uiPriority w:val="99"/>
    <w:semiHidden/>
    <w:rsid w:val="00492355"/>
    <w:rPr>
      <w:rFonts w:ascii="Calibri" w:hAnsi="Calibri" w:cs="Calibri"/>
      <w:sz w:val="20"/>
      <w:szCs w:val="20"/>
    </w:rPr>
  </w:style>
  <w:style w:type="paragraph" w:styleId="a8">
    <w:name w:val="annotation subject"/>
    <w:basedOn w:val="a7"/>
    <w:next w:val="a7"/>
    <w:link w:val="Char3"/>
    <w:uiPriority w:val="99"/>
    <w:semiHidden/>
    <w:unhideWhenUsed/>
    <w:rsid w:val="00492355"/>
    <w:rPr>
      <w:b/>
      <w:bCs/>
    </w:rPr>
  </w:style>
  <w:style w:type="character" w:customStyle="1" w:styleId="Char3">
    <w:name w:val="Θέμα σχολίου Char"/>
    <w:basedOn w:val="Char2"/>
    <w:link w:val="a8"/>
    <w:uiPriority w:val="99"/>
    <w:semiHidden/>
    <w:rsid w:val="00492355"/>
    <w:rPr>
      <w:rFonts w:ascii="Calibri" w:hAnsi="Calibri" w:cs="Calibri"/>
      <w:b/>
      <w:bCs/>
      <w:sz w:val="20"/>
      <w:szCs w:val="20"/>
    </w:rPr>
  </w:style>
  <w:style w:type="character" w:customStyle="1" w:styleId="2Char">
    <w:name w:val="Επικεφαλίδα 2 Char"/>
    <w:basedOn w:val="a0"/>
    <w:link w:val="2"/>
    <w:uiPriority w:val="9"/>
    <w:semiHidden/>
    <w:rsid w:val="00DE2595"/>
    <w:rPr>
      <w:rFonts w:asciiTheme="majorHAnsi" w:eastAsiaTheme="majorEastAsia" w:hAnsiTheme="majorHAnsi" w:cstheme="majorBidi"/>
      <w:color w:val="365F91" w:themeColor="accent1" w:themeShade="BF"/>
      <w:sz w:val="26"/>
      <w:szCs w:val="26"/>
    </w:rPr>
  </w:style>
  <w:style w:type="character" w:styleId="a9">
    <w:name w:val="Unresolved Mention"/>
    <w:basedOn w:val="a0"/>
    <w:uiPriority w:val="99"/>
    <w:semiHidden/>
    <w:unhideWhenUsed/>
    <w:rsid w:val="00A90858"/>
    <w:rPr>
      <w:color w:val="605E5C"/>
      <w:shd w:val="clear" w:color="auto" w:fill="E1DFDD"/>
    </w:rPr>
  </w:style>
  <w:style w:type="character" w:styleId="-0">
    <w:name w:val="FollowedHyperlink"/>
    <w:basedOn w:val="a0"/>
    <w:uiPriority w:val="99"/>
    <w:semiHidden/>
    <w:unhideWhenUsed/>
    <w:rsid w:val="0085378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6588">
      <w:bodyDiv w:val="1"/>
      <w:marLeft w:val="0"/>
      <w:marRight w:val="0"/>
      <w:marTop w:val="0"/>
      <w:marBottom w:val="0"/>
      <w:divBdr>
        <w:top w:val="none" w:sz="0" w:space="0" w:color="auto"/>
        <w:left w:val="none" w:sz="0" w:space="0" w:color="auto"/>
        <w:bottom w:val="none" w:sz="0" w:space="0" w:color="auto"/>
        <w:right w:val="none" w:sz="0" w:space="0" w:color="auto"/>
      </w:divBdr>
    </w:div>
    <w:div w:id="35393875">
      <w:bodyDiv w:val="1"/>
      <w:marLeft w:val="0"/>
      <w:marRight w:val="0"/>
      <w:marTop w:val="0"/>
      <w:marBottom w:val="0"/>
      <w:divBdr>
        <w:top w:val="none" w:sz="0" w:space="0" w:color="auto"/>
        <w:left w:val="none" w:sz="0" w:space="0" w:color="auto"/>
        <w:bottom w:val="none" w:sz="0" w:space="0" w:color="auto"/>
        <w:right w:val="none" w:sz="0" w:space="0" w:color="auto"/>
      </w:divBdr>
      <w:divsChild>
        <w:div w:id="21026037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061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89900">
      <w:bodyDiv w:val="1"/>
      <w:marLeft w:val="0"/>
      <w:marRight w:val="0"/>
      <w:marTop w:val="0"/>
      <w:marBottom w:val="0"/>
      <w:divBdr>
        <w:top w:val="none" w:sz="0" w:space="0" w:color="auto"/>
        <w:left w:val="none" w:sz="0" w:space="0" w:color="auto"/>
        <w:bottom w:val="none" w:sz="0" w:space="0" w:color="auto"/>
        <w:right w:val="none" w:sz="0" w:space="0" w:color="auto"/>
      </w:divBdr>
    </w:div>
    <w:div w:id="65878508">
      <w:bodyDiv w:val="1"/>
      <w:marLeft w:val="0"/>
      <w:marRight w:val="0"/>
      <w:marTop w:val="0"/>
      <w:marBottom w:val="0"/>
      <w:divBdr>
        <w:top w:val="none" w:sz="0" w:space="0" w:color="auto"/>
        <w:left w:val="none" w:sz="0" w:space="0" w:color="auto"/>
        <w:bottom w:val="none" w:sz="0" w:space="0" w:color="auto"/>
        <w:right w:val="none" w:sz="0" w:space="0" w:color="auto"/>
      </w:divBdr>
    </w:div>
    <w:div w:id="94399848">
      <w:bodyDiv w:val="1"/>
      <w:marLeft w:val="0"/>
      <w:marRight w:val="0"/>
      <w:marTop w:val="0"/>
      <w:marBottom w:val="0"/>
      <w:divBdr>
        <w:top w:val="none" w:sz="0" w:space="0" w:color="auto"/>
        <w:left w:val="none" w:sz="0" w:space="0" w:color="auto"/>
        <w:bottom w:val="none" w:sz="0" w:space="0" w:color="auto"/>
        <w:right w:val="none" w:sz="0" w:space="0" w:color="auto"/>
      </w:divBdr>
    </w:div>
    <w:div w:id="102311485">
      <w:bodyDiv w:val="1"/>
      <w:marLeft w:val="0"/>
      <w:marRight w:val="0"/>
      <w:marTop w:val="0"/>
      <w:marBottom w:val="0"/>
      <w:divBdr>
        <w:top w:val="none" w:sz="0" w:space="0" w:color="auto"/>
        <w:left w:val="none" w:sz="0" w:space="0" w:color="auto"/>
        <w:bottom w:val="none" w:sz="0" w:space="0" w:color="auto"/>
        <w:right w:val="none" w:sz="0" w:space="0" w:color="auto"/>
      </w:divBdr>
    </w:div>
    <w:div w:id="113985979">
      <w:bodyDiv w:val="1"/>
      <w:marLeft w:val="0"/>
      <w:marRight w:val="0"/>
      <w:marTop w:val="0"/>
      <w:marBottom w:val="0"/>
      <w:divBdr>
        <w:top w:val="none" w:sz="0" w:space="0" w:color="auto"/>
        <w:left w:val="none" w:sz="0" w:space="0" w:color="auto"/>
        <w:bottom w:val="none" w:sz="0" w:space="0" w:color="auto"/>
        <w:right w:val="none" w:sz="0" w:space="0" w:color="auto"/>
      </w:divBdr>
    </w:div>
    <w:div w:id="200048049">
      <w:bodyDiv w:val="1"/>
      <w:marLeft w:val="0"/>
      <w:marRight w:val="0"/>
      <w:marTop w:val="0"/>
      <w:marBottom w:val="0"/>
      <w:divBdr>
        <w:top w:val="none" w:sz="0" w:space="0" w:color="auto"/>
        <w:left w:val="none" w:sz="0" w:space="0" w:color="auto"/>
        <w:bottom w:val="none" w:sz="0" w:space="0" w:color="auto"/>
        <w:right w:val="none" w:sz="0" w:space="0" w:color="auto"/>
      </w:divBdr>
    </w:div>
    <w:div w:id="236670235">
      <w:bodyDiv w:val="1"/>
      <w:marLeft w:val="0"/>
      <w:marRight w:val="0"/>
      <w:marTop w:val="0"/>
      <w:marBottom w:val="0"/>
      <w:divBdr>
        <w:top w:val="none" w:sz="0" w:space="0" w:color="auto"/>
        <w:left w:val="none" w:sz="0" w:space="0" w:color="auto"/>
        <w:bottom w:val="none" w:sz="0" w:space="0" w:color="auto"/>
        <w:right w:val="none" w:sz="0" w:space="0" w:color="auto"/>
      </w:divBdr>
    </w:div>
    <w:div w:id="308945915">
      <w:bodyDiv w:val="1"/>
      <w:marLeft w:val="0"/>
      <w:marRight w:val="0"/>
      <w:marTop w:val="0"/>
      <w:marBottom w:val="0"/>
      <w:divBdr>
        <w:top w:val="none" w:sz="0" w:space="0" w:color="auto"/>
        <w:left w:val="none" w:sz="0" w:space="0" w:color="auto"/>
        <w:bottom w:val="none" w:sz="0" w:space="0" w:color="auto"/>
        <w:right w:val="none" w:sz="0" w:space="0" w:color="auto"/>
      </w:divBdr>
    </w:div>
    <w:div w:id="319625423">
      <w:bodyDiv w:val="1"/>
      <w:marLeft w:val="0"/>
      <w:marRight w:val="0"/>
      <w:marTop w:val="0"/>
      <w:marBottom w:val="0"/>
      <w:divBdr>
        <w:top w:val="none" w:sz="0" w:space="0" w:color="auto"/>
        <w:left w:val="none" w:sz="0" w:space="0" w:color="auto"/>
        <w:bottom w:val="none" w:sz="0" w:space="0" w:color="auto"/>
        <w:right w:val="none" w:sz="0" w:space="0" w:color="auto"/>
      </w:divBdr>
    </w:div>
    <w:div w:id="381290948">
      <w:bodyDiv w:val="1"/>
      <w:marLeft w:val="0"/>
      <w:marRight w:val="0"/>
      <w:marTop w:val="0"/>
      <w:marBottom w:val="0"/>
      <w:divBdr>
        <w:top w:val="none" w:sz="0" w:space="0" w:color="auto"/>
        <w:left w:val="none" w:sz="0" w:space="0" w:color="auto"/>
        <w:bottom w:val="none" w:sz="0" w:space="0" w:color="auto"/>
        <w:right w:val="none" w:sz="0" w:space="0" w:color="auto"/>
      </w:divBdr>
    </w:div>
    <w:div w:id="557594188">
      <w:bodyDiv w:val="1"/>
      <w:marLeft w:val="0"/>
      <w:marRight w:val="0"/>
      <w:marTop w:val="0"/>
      <w:marBottom w:val="0"/>
      <w:divBdr>
        <w:top w:val="none" w:sz="0" w:space="0" w:color="auto"/>
        <w:left w:val="none" w:sz="0" w:space="0" w:color="auto"/>
        <w:bottom w:val="none" w:sz="0" w:space="0" w:color="auto"/>
        <w:right w:val="none" w:sz="0" w:space="0" w:color="auto"/>
      </w:divBdr>
    </w:div>
    <w:div w:id="585384098">
      <w:bodyDiv w:val="1"/>
      <w:marLeft w:val="0"/>
      <w:marRight w:val="0"/>
      <w:marTop w:val="0"/>
      <w:marBottom w:val="0"/>
      <w:divBdr>
        <w:top w:val="none" w:sz="0" w:space="0" w:color="auto"/>
        <w:left w:val="none" w:sz="0" w:space="0" w:color="auto"/>
        <w:bottom w:val="none" w:sz="0" w:space="0" w:color="auto"/>
        <w:right w:val="none" w:sz="0" w:space="0" w:color="auto"/>
      </w:divBdr>
    </w:div>
    <w:div w:id="773356790">
      <w:bodyDiv w:val="1"/>
      <w:marLeft w:val="0"/>
      <w:marRight w:val="0"/>
      <w:marTop w:val="0"/>
      <w:marBottom w:val="0"/>
      <w:divBdr>
        <w:top w:val="none" w:sz="0" w:space="0" w:color="auto"/>
        <w:left w:val="none" w:sz="0" w:space="0" w:color="auto"/>
        <w:bottom w:val="none" w:sz="0" w:space="0" w:color="auto"/>
        <w:right w:val="none" w:sz="0" w:space="0" w:color="auto"/>
      </w:divBdr>
    </w:div>
    <w:div w:id="776875310">
      <w:bodyDiv w:val="1"/>
      <w:marLeft w:val="0"/>
      <w:marRight w:val="0"/>
      <w:marTop w:val="0"/>
      <w:marBottom w:val="0"/>
      <w:divBdr>
        <w:top w:val="none" w:sz="0" w:space="0" w:color="auto"/>
        <w:left w:val="none" w:sz="0" w:space="0" w:color="auto"/>
        <w:bottom w:val="none" w:sz="0" w:space="0" w:color="auto"/>
        <w:right w:val="none" w:sz="0" w:space="0" w:color="auto"/>
      </w:divBdr>
    </w:div>
    <w:div w:id="816069148">
      <w:bodyDiv w:val="1"/>
      <w:marLeft w:val="0"/>
      <w:marRight w:val="0"/>
      <w:marTop w:val="0"/>
      <w:marBottom w:val="0"/>
      <w:divBdr>
        <w:top w:val="none" w:sz="0" w:space="0" w:color="auto"/>
        <w:left w:val="none" w:sz="0" w:space="0" w:color="auto"/>
        <w:bottom w:val="none" w:sz="0" w:space="0" w:color="auto"/>
        <w:right w:val="none" w:sz="0" w:space="0" w:color="auto"/>
      </w:divBdr>
    </w:div>
    <w:div w:id="823351803">
      <w:bodyDiv w:val="1"/>
      <w:marLeft w:val="0"/>
      <w:marRight w:val="0"/>
      <w:marTop w:val="0"/>
      <w:marBottom w:val="0"/>
      <w:divBdr>
        <w:top w:val="none" w:sz="0" w:space="0" w:color="auto"/>
        <w:left w:val="none" w:sz="0" w:space="0" w:color="auto"/>
        <w:bottom w:val="none" w:sz="0" w:space="0" w:color="auto"/>
        <w:right w:val="none" w:sz="0" w:space="0" w:color="auto"/>
      </w:divBdr>
    </w:div>
    <w:div w:id="870873420">
      <w:bodyDiv w:val="1"/>
      <w:marLeft w:val="0"/>
      <w:marRight w:val="0"/>
      <w:marTop w:val="0"/>
      <w:marBottom w:val="0"/>
      <w:divBdr>
        <w:top w:val="none" w:sz="0" w:space="0" w:color="auto"/>
        <w:left w:val="none" w:sz="0" w:space="0" w:color="auto"/>
        <w:bottom w:val="none" w:sz="0" w:space="0" w:color="auto"/>
        <w:right w:val="none" w:sz="0" w:space="0" w:color="auto"/>
      </w:divBdr>
    </w:div>
    <w:div w:id="895121645">
      <w:bodyDiv w:val="1"/>
      <w:marLeft w:val="0"/>
      <w:marRight w:val="0"/>
      <w:marTop w:val="0"/>
      <w:marBottom w:val="0"/>
      <w:divBdr>
        <w:top w:val="none" w:sz="0" w:space="0" w:color="auto"/>
        <w:left w:val="none" w:sz="0" w:space="0" w:color="auto"/>
        <w:bottom w:val="none" w:sz="0" w:space="0" w:color="auto"/>
        <w:right w:val="none" w:sz="0" w:space="0" w:color="auto"/>
      </w:divBdr>
    </w:div>
    <w:div w:id="900599385">
      <w:bodyDiv w:val="1"/>
      <w:marLeft w:val="0"/>
      <w:marRight w:val="0"/>
      <w:marTop w:val="0"/>
      <w:marBottom w:val="0"/>
      <w:divBdr>
        <w:top w:val="none" w:sz="0" w:space="0" w:color="auto"/>
        <w:left w:val="none" w:sz="0" w:space="0" w:color="auto"/>
        <w:bottom w:val="none" w:sz="0" w:space="0" w:color="auto"/>
        <w:right w:val="none" w:sz="0" w:space="0" w:color="auto"/>
      </w:divBdr>
    </w:div>
    <w:div w:id="992025181">
      <w:bodyDiv w:val="1"/>
      <w:marLeft w:val="0"/>
      <w:marRight w:val="0"/>
      <w:marTop w:val="0"/>
      <w:marBottom w:val="0"/>
      <w:divBdr>
        <w:top w:val="none" w:sz="0" w:space="0" w:color="auto"/>
        <w:left w:val="none" w:sz="0" w:space="0" w:color="auto"/>
        <w:bottom w:val="none" w:sz="0" w:space="0" w:color="auto"/>
        <w:right w:val="none" w:sz="0" w:space="0" w:color="auto"/>
      </w:divBdr>
    </w:div>
    <w:div w:id="1021510676">
      <w:bodyDiv w:val="1"/>
      <w:marLeft w:val="0"/>
      <w:marRight w:val="0"/>
      <w:marTop w:val="0"/>
      <w:marBottom w:val="0"/>
      <w:divBdr>
        <w:top w:val="none" w:sz="0" w:space="0" w:color="auto"/>
        <w:left w:val="none" w:sz="0" w:space="0" w:color="auto"/>
        <w:bottom w:val="none" w:sz="0" w:space="0" w:color="auto"/>
        <w:right w:val="none" w:sz="0" w:space="0" w:color="auto"/>
      </w:divBdr>
    </w:div>
    <w:div w:id="1021707652">
      <w:bodyDiv w:val="1"/>
      <w:marLeft w:val="0"/>
      <w:marRight w:val="0"/>
      <w:marTop w:val="0"/>
      <w:marBottom w:val="0"/>
      <w:divBdr>
        <w:top w:val="none" w:sz="0" w:space="0" w:color="auto"/>
        <w:left w:val="none" w:sz="0" w:space="0" w:color="auto"/>
        <w:bottom w:val="none" w:sz="0" w:space="0" w:color="auto"/>
        <w:right w:val="none" w:sz="0" w:space="0" w:color="auto"/>
      </w:divBdr>
    </w:div>
    <w:div w:id="1050812350">
      <w:bodyDiv w:val="1"/>
      <w:marLeft w:val="0"/>
      <w:marRight w:val="0"/>
      <w:marTop w:val="0"/>
      <w:marBottom w:val="0"/>
      <w:divBdr>
        <w:top w:val="none" w:sz="0" w:space="0" w:color="auto"/>
        <w:left w:val="none" w:sz="0" w:space="0" w:color="auto"/>
        <w:bottom w:val="none" w:sz="0" w:space="0" w:color="auto"/>
        <w:right w:val="none" w:sz="0" w:space="0" w:color="auto"/>
      </w:divBdr>
    </w:div>
    <w:div w:id="1051535039">
      <w:bodyDiv w:val="1"/>
      <w:marLeft w:val="0"/>
      <w:marRight w:val="0"/>
      <w:marTop w:val="0"/>
      <w:marBottom w:val="0"/>
      <w:divBdr>
        <w:top w:val="none" w:sz="0" w:space="0" w:color="auto"/>
        <w:left w:val="none" w:sz="0" w:space="0" w:color="auto"/>
        <w:bottom w:val="none" w:sz="0" w:space="0" w:color="auto"/>
        <w:right w:val="none" w:sz="0" w:space="0" w:color="auto"/>
      </w:divBdr>
      <w:divsChild>
        <w:div w:id="20153784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147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917779">
      <w:bodyDiv w:val="1"/>
      <w:marLeft w:val="0"/>
      <w:marRight w:val="0"/>
      <w:marTop w:val="0"/>
      <w:marBottom w:val="0"/>
      <w:divBdr>
        <w:top w:val="none" w:sz="0" w:space="0" w:color="auto"/>
        <w:left w:val="none" w:sz="0" w:space="0" w:color="auto"/>
        <w:bottom w:val="none" w:sz="0" w:space="0" w:color="auto"/>
        <w:right w:val="none" w:sz="0" w:space="0" w:color="auto"/>
      </w:divBdr>
    </w:div>
    <w:div w:id="1119059655">
      <w:bodyDiv w:val="1"/>
      <w:marLeft w:val="0"/>
      <w:marRight w:val="0"/>
      <w:marTop w:val="0"/>
      <w:marBottom w:val="0"/>
      <w:divBdr>
        <w:top w:val="none" w:sz="0" w:space="0" w:color="auto"/>
        <w:left w:val="none" w:sz="0" w:space="0" w:color="auto"/>
        <w:bottom w:val="none" w:sz="0" w:space="0" w:color="auto"/>
        <w:right w:val="none" w:sz="0" w:space="0" w:color="auto"/>
      </w:divBdr>
    </w:div>
    <w:div w:id="1146552679">
      <w:bodyDiv w:val="1"/>
      <w:marLeft w:val="0"/>
      <w:marRight w:val="0"/>
      <w:marTop w:val="0"/>
      <w:marBottom w:val="0"/>
      <w:divBdr>
        <w:top w:val="none" w:sz="0" w:space="0" w:color="auto"/>
        <w:left w:val="none" w:sz="0" w:space="0" w:color="auto"/>
        <w:bottom w:val="none" w:sz="0" w:space="0" w:color="auto"/>
        <w:right w:val="none" w:sz="0" w:space="0" w:color="auto"/>
      </w:divBdr>
    </w:div>
    <w:div w:id="1157379866">
      <w:bodyDiv w:val="1"/>
      <w:marLeft w:val="0"/>
      <w:marRight w:val="0"/>
      <w:marTop w:val="0"/>
      <w:marBottom w:val="0"/>
      <w:divBdr>
        <w:top w:val="none" w:sz="0" w:space="0" w:color="auto"/>
        <w:left w:val="none" w:sz="0" w:space="0" w:color="auto"/>
        <w:bottom w:val="none" w:sz="0" w:space="0" w:color="auto"/>
        <w:right w:val="none" w:sz="0" w:space="0" w:color="auto"/>
      </w:divBdr>
    </w:div>
    <w:div w:id="1201742926">
      <w:bodyDiv w:val="1"/>
      <w:marLeft w:val="0"/>
      <w:marRight w:val="0"/>
      <w:marTop w:val="0"/>
      <w:marBottom w:val="0"/>
      <w:divBdr>
        <w:top w:val="none" w:sz="0" w:space="0" w:color="auto"/>
        <w:left w:val="none" w:sz="0" w:space="0" w:color="auto"/>
        <w:bottom w:val="none" w:sz="0" w:space="0" w:color="auto"/>
        <w:right w:val="none" w:sz="0" w:space="0" w:color="auto"/>
      </w:divBdr>
    </w:div>
    <w:div w:id="1282691707">
      <w:bodyDiv w:val="1"/>
      <w:marLeft w:val="0"/>
      <w:marRight w:val="0"/>
      <w:marTop w:val="0"/>
      <w:marBottom w:val="0"/>
      <w:divBdr>
        <w:top w:val="none" w:sz="0" w:space="0" w:color="auto"/>
        <w:left w:val="none" w:sz="0" w:space="0" w:color="auto"/>
        <w:bottom w:val="none" w:sz="0" w:space="0" w:color="auto"/>
        <w:right w:val="none" w:sz="0" w:space="0" w:color="auto"/>
      </w:divBdr>
    </w:div>
    <w:div w:id="1354959502">
      <w:bodyDiv w:val="1"/>
      <w:marLeft w:val="0"/>
      <w:marRight w:val="0"/>
      <w:marTop w:val="0"/>
      <w:marBottom w:val="0"/>
      <w:divBdr>
        <w:top w:val="none" w:sz="0" w:space="0" w:color="auto"/>
        <w:left w:val="none" w:sz="0" w:space="0" w:color="auto"/>
        <w:bottom w:val="none" w:sz="0" w:space="0" w:color="auto"/>
        <w:right w:val="none" w:sz="0" w:space="0" w:color="auto"/>
      </w:divBdr>
    </w:div>
    <w:div w:id="1362365870">
      <w:bodyDiv w:val="1"/>
      <w:marLeft w:val="0"/>
      <w:marRight w:val="0"/>
      <w:marTop w:val="0"/>
      <w:marBottom w:val="0"/>
      <w:divBdr>
        <w:top w:val="none" w:sz="0" w:space="0" w:color="auto"/>
        <w:left w:val="none" w:sz="0" w:space="0" w:color="auto"/>
        <w:bottom w:val="none" w:sz="0" w:space="0" w:color="auto"/>
        <w:right w:val="none" w:sz="0" w:space="0" w:color="auto"/>
      </w:divBdr>
    </w:div>
    <w:div w:id="1536038855">
      <w:bodyDiv w:val="1"/>
      <w:marLeft w:val="0"/>
      <w:marRight w:val="0"/>
      <w:marTop w:val="0"/>
      <w:marBottom w:val="0"/>
      <w:divBdr>
        <w:top w:val="none" w:sz="0" w:space="0" w:color="auto"/>
        <w:left w:val="none" w:sz="0" w:space="0" w:color="auto"/>
        <w:bottom w:val="none" w:sz="0" w:space="0" w:color="auto"/>
        <w:right w:val="none" w:sz="0" w:space="0" w:color="auto"/>
      </w:divBdr>
    </w:div>
    <w:div w:id="1550189402">
      <w:bodyDiv w:val="1"/>
      <w:marLeft w:val="0"/>
      <w:marRight w:val="0"/>
      <w:marTop w:val="0"/>
      <w:marBottom w:val="0"/>
      <w:divBdr>
        <w:top w:val="none" w:sz="0" w:space="0" w:color="auto"/>
        <w:left w:val="none" w:sz="0" w:space="0" w:color="auto"/>
        <w:bottom w:val="none" w:sz="0" w:space="0" w:color="auto"/>
        <w:right w:val="none" w:sz="0" w:space="0" w:color="auto"/>
      </w:divBdr>
    </w:div>
    <w:div w:id="1559318850">
      <w:bodyDiv w:val="1"/>
      <w:marLeft w:val="0"/>
      <w:marRight w:val="0"/>
      <w:marTop w:val="0"/>
      <w:marBottom w:val="0"/>
      <w:divBdr>
        <w:top w:val="none" w:sz="0" w:space="0" w:color="auto"/>
        <w:left w:val="none" w:sz="0" w:space="0" w:color="auto"/>
        <w:bottom w:val="none" w:sz="0" w:space="0" w:color="auto"/>
        <w:right w:val="none" w:sz="0" w:space="0" w:color="auto"/>
      </w:divBdr>
    </w:div>
    <w:div w:id="1559635545">
      <w:bodyDiv w:val="1"/>
      <w:marLeft w:val="0"/>
      <w:marRight w:val="0"/>
      <w:marTop w:val="0"/>
      <w:marBottom w:val="0"/>
      <w:divBdr>
        <w:top w:val="none" w:sz="0" w:space="0" w:color="auto"/>
        <w:left w:val="none" w:sz="0" w:space="0" w:color="auto"/>
        <w:bottom w:val="none" w:sz="0" w:space="0" w:color="auto"/>
        <w:right w:val="none" w:sz="0" w:space="0" w:color="auto"/>
      </w:divBdr>
    </w:div>
    <w:div w:id="1637952059">
      <w:bodyDiv w:val="1"/>
      <w:marLeft w:val="0"/>
      <w:marRight w:val="0"/>
      <w:marTop w:val="0"/>
      <w:marBottom w:val="0"/>
      <w:divBdr>
        <w:top w:val="none" w:sz="0" w:space="0" w:color="auto"/>
        <w:left w:val="none" w:sz="0" w:space="0" w:color="auto"/>
        <w:bottom w:val="none" w:sz="0" w:space="0" w:color="auto"/>
        <w:right w:val="none" w:sz="0" w:space="0" w:color="auto"/>
      </w:divBdr>
    </w:div>
    <w:div w:id="1651053920">
      <w:bodyDiv w:val="1"/>
      <w:marLeft w:val="0"/>
      <w:marRight w:val="0"/>
      <w:marTop w:val="0"/>
      <w:marBottom w:val="0"/>
      <w:divBdr>
        <w:top w:val="none" w:sz="0" w:space="0" w:color="auto"/>
        <w:left w:val="none" w:sz="0" w:space="0" w:color="auto"/>
        <w:bottom w:val="none" w:sz="0" w:space="0" w:color="auto"/>
        <w:right w:val="none" w:sz="0" w:space="0" w:color="auto"/>
      </w:divBdr>
    </w:div>
    <w:div w:id="1653175404">
      <w:bodyDiv w:val="1"/>
      <w:marLeft w:val="0"/>
      <w:marRight w:val="0"/>
      <w:marTop w:val="0"/>
      <w:marBottom w:val="0"/>
      <w:divBdr>
        <w:top w:val="none" w:sz="0" w:space="0" w:color="auto"/>
        <w:left w:val="none" w:sz="0" w:space="0" w:color="auto"/>
        <w:bottom w:val="none" w:sz="0" w:space="0" w:color="auto"/>
        <w:right w:val="none" w:sz="0" w:space="0" w:color="auto"/>
      </w:divBdr>
    </w:div>
    <w:div w:id="1671324357">
      <w:bodyDiv w:val="1"/>
      <w:marLeft w:val="0"/>
      <w:marRight w:val="0"/>
      <w:marTop w:val="0"/>
      <w:marBottom w:val="0"/>
      <w:divBdr>
        <w:top w:val="none" w:sz="0" w:space="0" w:color="auto"/>
        <w:left w:val="none" w:sz="0" w:space="0" w:color="auto"/>
        <w:bottom w:val="none" w:sz="0" w:space="0" w:color="auto"/>
        <w:right w:val="none" w:sz="0" w:space="0" w:color="auto"/>
      </w:divBdr>
    </w:div>
    <w:div w:id="1672296448">
      <w:bodyDiv w:val="1"/>
      <w:marLeft w:val="0"/>
      <w:marRight w:val="0"/>
      <w:marTop w:val="0"/>
      <w:marBottom w:val="0"/>
      <w:divBdr>
        <w:top w:val="none" w:sz="0" w:space="0" w:color="auto"/>
        <w:left w:val="none" w:sz="0" w:space="0" w:color="auto"/>
        <w:bottom w:val="none" w:sz="0" w:space="0" w:color="auto"/>
        <w:right w:val="none" w:sz="0" w:space="0" w:color="auto"/>
      </w:divBdr>
    </w:div>
    <w:div w:id="1672483242">
      <w:bodyDiv w:val="1"/>
      <w:marLeft w:val="0"/>
      <w:marRight w:val="0"/>
      <w:marTop w:val="0"/>
      <w:marBottom w:val="0"/>
      <w:divBdr>
        <w:top w:val="none" w:sz="0" w:space="0" w:color="auto"/>
        <w:left w:val="none" w:sz="0" w:space="0" w:color="auto"/>
        <w:bottom w:val="none" w:sz="0" w:space="0" w:color="auto"/>
        <w:right w:val="none" w:sz="0" w:space="0" w:color="auto"/>
      </w:divBdr>
    </w:div>
    <w:div w:id="1703246004">
      <w:bodyDiv w:val="1"/>
      <w:marLeft w:val="0"/>
      <w:marRight w:val="0"/>
      <w:marTop w:val="0"/>
      <w:marBottom w:val="0"/>
      <w:divBdr>
        <w:top w:val="none" w:sz="0" w:space="0" w:color="auto"/>
        <w:left w:val="none" w:sz="0" w:space="0" w:color="auto"/>
        <w:bottom w:val="none" w:sz="0" w:space="0" w:color="auto"/>
        <w:right w:val="none" w:sz="0" w:space="0" w:color="auto"/>
      </w:divBdr>
    </w:div>
    <w:div w:id="1778021607">
      <w:bodyDiv w:val="1"/>
      <w:marLeft w:val="0"/>
      <w:marRight w:val="0"/>
      <w:marTop w:val="0"/>
      <w:marBottom w:val="0"/>
      <w:divBdr>
        <w:top w:val="none" w:sz="0" w:space="0" w:color="auto"/>
        <w:left w:val="none" w:sz="0" w:space="0" w:color="auto"/>
        <w:bottom w:val="none" w:sz="0" w:space="0" w:color="auto"/>
        <w:right w:val="none" w:sz="0" w:space="0" w:color="auto"/>
      </w:divBdr>
    </w:div>
    <w:div w:id="1804732813">
      <w:bodyDiv w:val="1"/>
      <w:marLeft w:val="0"/>
      <w:marRight w:val="0"/>
      <w:marTop w:val="0"/>
      <w:marBottom w:val="0"/>
      <w:divBdr>
        <w:top w:val="none" w:sz="0" w:space="0" w:color="auto"/>
        <w:left w:val="none" w:sz="0" w:space="0" w:color="auto"/>
        <w:bottom w:val="none" w:sz="0" w:space="0" w:color="auto"/>
        <w:right w:val="none" w:sz="0" w:space="0" w:color="auto"/>
      </w:divBdr>
    </w:div>
    <w:div w:id="1832721675">
      <w:bodyDiv w:val="1"/>
      <w:marLeft w:val="0"/>
      <w:marRight w:val="0"/>
      <w:marTop w:val="0"/>
      <w:marBottom w:val="0"/>
      <w:divBdr>
        <w:top w:val="none" w:sz="0" w:space="0" w:color="auto"/>
        <w:left w:val="none" w:sz="0" w:space="0" w:color="auto"/>
        <w:bottom w:val="none" w:sz="0" w:space="0" w:color="auto"/>
        <w:right w:val="none" w:sz="0" w:space="0" w:color="auto"/>
      </w:divBdr>
    </w:div>
    <w:div w:id="1910266996">
      <w:bodyDiv w:val="1"/>
      <w:marLeft w:val="0"/>
      <w:marRight w:val="0"/>
      <w:marTop w:val="0"/>
      <w:marBottom w:val="0"/>
      <w:divBdr>
        <w:top w:val="none" w:sz="0" w:space="0" w:color="auto"/>
        <w:left w:val="none" w:sz="0" w:space="0" w:color="auto"/>
        <w:bottom w:val="none" w:sz="0" w:space="0" w:color="auto"/>
        <w:right w:val="none" w:sz="0" w:space="0" w:color="auto"/>
      </w:divBdr>
    </w:div>
    <w:div w:id="1910648267">
      <w:bodyDiv w:val="1"/>
      <w:marLeft w:val="0"/>
      <w:marRight w:val="0"/>
      <w:marTop w:val="0"/>
      <w:marBottom w:val="0"/>
      <w:divBdr>
        <w:top w:val="none" w:sz="0" w:space="0" w:color="auto"/>
        <w:left w:val="none" w:sz="0" w:space="0" w:color="auto"/>
        <w:bottom w:val="none" w:sz="0" w:space="0" w:color="auto"/>
        <w:right w:val="none" w:sz="0" w:space="0" w:color="auto"/>
      </w:divBdr>
    </w:div>
    <w:div w:id="1933201605">
      <w:bodyDiv w:val="1"/>
      <w:marLeft w:val="0"/>
      <w:marRight w:val="0"/>
      <w:marTop w:val="0"/>
      <w:marBottom w:val="0"/>
      <w:divBdr>
        <w:top w:val="none" w:sz="0" w:space="0" w:color="auto"/>
        <w:left w:val="none" w:sz="0" w:space="0" w:color="auto"/>
        <w:bottom w:val="none" w:sz="0" w:space="0" w:color="auto"/>
        <w:right w:val="none" w:sz="0" w:space="0" w:color="auto"/>
      </w:divBdr>
    </w:div>
    <w:div w:id="2076580788">
      <w:bodyDiv w:val="1"/>
      <w:marLeft w:val="0"/>
      <w:marRight w:val="0"/>
      <w:marTop w:val="0"/>
      <w:marBottom w:val="0"/>
      <w:divBdr>
        <w:top w:val="none" w:sz="0" w:space="0" w:color="auto"/>
        <w:left w:val="none" w:sz="0" w:space="0" w:color="auto"/>
        <w:bottom w:val="none" w:sz="0" w:space="0" w:color="auto"/>
        <w:right w:val="none" w:sz="0" w:space="0" w:color="auto"/>
      </w:divBdr>
    </w:div>
    <w:div w:id="2147047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915;&#961;&#940;&#966;&#951;&#956;&#945;%20&#963;&#964;&#959;%20Microsoft%20Word"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'[Γράφημα στο Microsoft Word]Φύλλο1'!$C$10</c:f>
              <c:strCache>
                <c:ptCount val="1"/>
                <c:pt idx="0">
                  <c:v>Κενό ΦΠΑ Ελλάδας(%)</c:v>
                </c:pt>
              </c:strCache>
            </c:strRef>
          </c:tx>
          <c:spPr>
            <a:ln w="28575" cap="rnd">
              <a:solidFill>
                <a:schemeClr val="accent1"/>
              </a:solidFill>
              <a:round/>
            </a:ln>
            <a:effectLst/>
          </c:spPr>
          <c:marker>
            <c:symbol val="none"/>
          </c:marker>
          <c:dLbls>
            <c:dLbl>
              <c:idx val="0"/>
              <c:layout>
                <c:manualLayout>
                  <c:x val="0"/>
                  <c:y val="-4.16666666666666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0DB-4144-B957-54DA9483AC56}"/>
                </c:ext>
              </c:extLst>
            </c:dLbl>
            <c:dLbl>
              <c:idx val="1"/>
              <c:layout>
                <c:manualLayout>
                  <c:x val="0"/>
                  <c:y val="-5.09259259259259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0DB-4144-B957-54DA9483AC56}"/>
                </c:ext>
              </c:extLst>
            </c:dLbl>
            <c:dLbl>
              <c:idx val="2"/>
              <c:layout>
                <c:manualLayout>
                  <c:x val="2.4021138601969735E-3"/>
                  <c:y val="-4.16666666666666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0DB-4144-B957-54DA9483AC56}"/>
                </c:ext>
              </c:extLst>
            </c:dLbl>
            <c:dLbl>
              <c:idx val="3"/>
              <c:layout>
                <c:manualLayout>
                  <c:x val="-7.2063415805909197E-3"/>
                  <c:y val="-4.16666666666666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0DB-4144-B957-54DA9483AC56}"/>
                </c:ext>
              </c:extLst>
            </c:dLbl>
            <c:dLbl>
              <c:idx val="4"/>
              <c:layout>
                <c:manualLayout>
                  <c:x val="-1.2010569300984866E-2"/>
                  <c:y val="-6.94444444444444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0DB-4144-B957-54DA9483AC56}"/>
                </c:ext>
              </c:extLst>
            </c:dLbl>
            <c:dLbl>
              <c:idx val="5"/>
              <c:layout>
                <c:manualLayout>
                  <c:x val="-1.9216910881575788E-2"/>
                  <c:y val="-6.94444444444444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0DB-4144-B957-54DA9483AC56}"/>
                </c:ext>
              </c:extLst>
            </c:dLbl>
            <c:dLbl>
              <c:idx val="6"/>
              <c:layout>
                <c:manualLayout>
                  <c:x val="-2.1619024741772935E-2"/>
                  <c:y val="-4.62962962962963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0DB-4144-B957-54DA9483AC56}"/>
                </c:ext>
              </c:extLst>
            </c:dLbl>
            <c:dLbl>
              <c:idx val="7"/>
              <c:layout>
                <c:manualLayout>
                  <c:x val="-1.4412683161181839E-2"/>
                  <c:y val="-3.70370370370370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F0DB-4144-B957-54DA9483AC56}"/>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002060"/>
                    </a:solidFill>
                    <a:latin typeface="+mn-lt"/>
                    <a:ea typeface="+mn-ea"/>
                    <a:cs typeface="+mn-cs"/>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'[Γράφημα στο Microsoft Word]Φύλλο1'!$D$9:$K$9</c:f>
              <c:numCache>
                <c:formatCode>General</c:formatCode>
                <c:ptCount val="8"/>
                <c:pt idx="0">
                  <c:v>2017</c:v>
                </c:pt>
                <c:pt idx="1">
                  <c:v>2018</c:v>
                </c:pt>
                <c:pt idx="2">
                  <c:v>2019</c:v>
                </c:pt>
                <c:pt idx="3">
                  <c:v>2020</c:v>
                </c:pt>
                <c:pt idx="4">
                  <c:v>2021</c:v>
                </c:pt>
                <c:pt idx="5">
                  <c:v>2022</c:v>
                </c:pt>
                <c:pt idx="6">
                  <c:v>2023</c:v>
                </c:pt>
                <c:pt idx="7">
                  <c:v>2024</c:v>
                </c:pt>
              </c:numCache>
            </c:numRef>
          </c:cat>
          <c:val>
            <c:numRef>
              <c:f>'[Γράφημα στο Microsoft Word]Φύλλο1'!$D$10:$K$10</c:f>
              <c:numCache>
                <c:formatCode>0.00%</c:formatCode>
                <c:ptCount val="8"/>
                <c:pt idx="0">
                  <c:v>0.28999999999999998</c:v>
                </c:pt>
                <c:pt idx="1">
                  <c:v>0.255</c:v>
                </c:pt>
                <c:pt idx="2">
                  <c:v>0.24</c:v>
                </c:pt>
                <c:pt idx="3">
                  <c:v>0.215</c:v>
                </c:pt>
                <c:pt idx="4">
                  <c:v>0.16400000000000001</c:v>
                </c:pt>
                <c:pt idx="5">
                  <c:v>0.124</c:v>
                </c:pt>
                <c:pt idx="6">
                  <c:v>0.114</c:v>
                </c:pt>
                <c:pt idx="7">
                  <c:v>0.09</c:v>
                </c:pt>
              </c:numCache>
            </c:numRef>
          </c:val>
          <c:smooth val="0"/>
          <c:extLst>
            <c:ext xmlns:c16="http://schemas.microsoft.com/office/drawing/2014/chart" uri="{C3380CC4-5D6E-409C-BE32-E72D297353CC}">
              <c16:uniqueId val="{00000008-F0DB-4144-B957-54DA9483AC56}"/>
            </c:ext>
          </c:extLst>
        </c:ser>
        <c:ser>
          <c:idx val="1"/>
          <c:order val="1"/>
          <c:tx>
            <c:strRef>
              <c:f>'[Γράφημα στο Microsoft Word]Φύλλο1'!$C$11</c:f>
              <c:strCache>
                <c:ptCount val="1"/>
                <c:pt idx="0">
                  <c:v>Μέσο κενό ΦΠΑ ΕΕ (%)</c:v>
                </c:pt>
              </c:strCache>
            </c:strRef>
          </c:tx>
          <c:spPr>
            <a:ln w="28575" cap="rnd">
              <a:solidFill>
                <a:schemeClr val="accent2"/>
              </a:solidFill>
              <a:round/>
            </a:ln>
            <a:effectLst/>
          </c:spPr>
          <c:marker>
            <c:symbol val="none"/>
          </c:marker>
          <c:dLbls>
            <c:dLbl>
              <c:idx val="0"/>
              <c:layout>
                <c:manualLayout>
                  <c:x val="-3.6031707902954603E-2"/>
                  <c:y val="6.48148148148148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F0DB-4144-B957-54DA9483AC56}"/>
                </c:ext>
              </c:extLst>
            </c:dLbl>
            <c:dLbl>
              <c:idx val="1"/>
              <c:layout>
                <c:manualLayout>
                  <c:x val="-5.0444391064136486E-2"/>
                  <c:y val="6.94444444444444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F0DB-4144-B957-54DA9483AC56}"/>
                </c:ext>
              </c:extLst>
            </c:dLbl>
            <c:dLbl>
              <c:idx val="2"/>
              <c:layout>
                <c:manualLayout>
                  <c:x val="-3.8433821763151577E-2"/>
                  <c:y val="6.018518518518518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F0DB-4144-B957-54DA9483AC56}"/>
                </c:ext>
              </c:extLst>
            </c:dLbl>
            <c:dLbl>
              <c:idx val="3"/>
              <c:layout>
                <c:manualLayout>
                  <c:x val="-4.083593562334855E-2"/>
                  <c:y val="6.481481481481472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F0DB-4144-B957-54DA9483AC56}"/>
                </c:ext>
              </c:extLst>
            </c:dLbl>
            <c:dLbl>
              <c:idx val="4"/>
              <c:layout>
                <c:manualLayout>
                  <c:x val="-5.2846504924333411E-2"/>
                  <c:y val="4.166666666666658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F0DB-4144-B957-54DA9483AC56}"/>
                </c:ext>
              </c:extLst>
            </c:dLbl>
            <c:dLbl>
              <c:idx val="5"/>
              <c:layout>
                <c:manualLayout>
                  <c:x val="-4.3238049483545517E-2"/>
                  <c:y val="5.55555555555555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F0DB-4144-B957-54DA9483AC56}"/>
                </c:ext>
              </c:extLst>
            </c:dLbl>
            <c:dLbl>
              <c:idx val="6"/>
              <c:layout>
                <c:manualLayout>
                  <c:x val="-4.8042277203939554E-2"/>
                  <c:y val="5.555555555555546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F0DB-4144-B957-54DA9483AC56}"/>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'[Γράφημα στο Microsoft Word]Φύλλο1'!$D$9:$K$9</c:f>
              <c:numCache>
                <c:formatCode>General</c:formatCode>
                <c:ptCount val="8"/>
                <c:pt idx="0">
                  <c:v>2017</c:v>
                </c:pt>
                <c:pt idx="1">
                  <c:v>2018</c:v>
                </c:pt>
                <c:pt idx="2">
                  <c:v>2019</c:v>
                </c:pt>
                <c:pt idx="3">
                  <c:v>2020</c:v>
                </c:pt>
                <c:pt idx="4">
                  <c:v>2021</c:v>
                </c:pt>
                <c:pt idx="5">
                  <c:v>2022</c:v>
                </c:pt>
                <c:pt idx="6">
                  <c:v>2023</c:v>
                </c:pt>
                <c:pt idx="7">
                  <c:v>2024</c:v>
                </c:pt>
              </c:numCache>
            </c:numRef>
          </c:cat>
          <c:val>
            <c:numRef>
              <c:f>'[Γράφημα στο Microsoft Word]Φύλλο1'!$D$11:$K$11</c:f>
              <c:numCache>
                <c:formatCode>0.00%</c:formatCode>
                <c:ptCount val="8"/>
                <c:pt idx="0">
                  <c:v>0.11799999999999999</c:v>
                </c:pt>
                <c:pt idx="1">
                  <c:v>0.112</c:v>
                </c:pt>
                <c:pt idx="2">
                  <c:v>0.106</c:v>
                </c:pt>
                <c:pt idx="3">
                  <c:v>9.9000000000000005E-2</c:v>
                </c:pt>
                <c:pt idx="4">
                  <c:v>7.1999999999999995E-2</c:v>
                </c:pt>
                <c:pt idx="5">
                  <c:v>7.9000000000000001E-2</c:v>
                </c:pt>
                <c:pt idx="6">
                  <c:v>9.5000000000000001E-2</c:v>
                </c:pt>
              </c:numCache>
            </c:numRef>
          </c:val>
          <c:smooth val="0"/>
          <c:extLst>
            <c:ext xmlns:c16="http://schemas.microsoft.com/office/drawing/2014/chart" uri="{C3380CC4-5D6E-409C-BE32-E72D297353CC}">
              <c16:uniqueId val="{00000010-F0DB-4144-B957-54DA9483AC56}"/>
            </c:ext>
          </c:extLst>
        </c:ser>
        <c:dLbls>
          <c:showLegendKey val="0"/>
          <c:showVal val="0"/>
          <c:showCatName val="0"/>
          <c:showSerName val="0"/>
          <c:showPercent val="0"/>
          <c:showBubbleSize val="0"/>
        </c:dLbls>
        <c:smooth val="0"/>
        <c:axId val="169082048"/>
        <c:axId val="169075808"/>
      </c:lineChart>
      <c:catAx>
        <c:axId val="1690820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l-GR"/>
          </a:p>
        </c:txPr>
        <c:crossAx val="169075808"/>
        <c:crosses val="autoZero"/>
        <c:auto val="1"/>
        <c:lblAlgn val="ctr"/>
        <c:lblOffset val="100"/>
        <c:noMultiLvlLbl val="0"/>
      </c:catAx>
      <c:valAx>
        <c:axId val="16907580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crossAx val="1690820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l-G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36F8FC-E8E1-43CB-92CE-75174F2DB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522</Words>
  <Characters>2819</Characters>
  <Application>Microsoft Office Word</Application>
  <DocSecurity>0</DocSecurity>
  <Lines>23</Lines>
  <Paragraphs>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s.veroniki</dc:creator>
  <cp:lastModifiedBy>ΔΕΠΙΚ</cp:lastModifiedBy>
  <cp:revision>6</cp:revision>
  <cp:lastPrinted>2025-11-28T14:09:00Z</cp:lastPrinted>
  <dcterms:created xsi:type="dcterms:W3CDTF">2025-12-12T16:57:00Z</dcterms:created>
  <dcterms:modified xsi:type="dcterms:W3CDTF">2025-12-12T17:14:00Z</dcterms:modified>
</cp:coreProperties>
</file>